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49F5" w14:textId="447EB3CC" w:rsidR="00D000E8" w:rsidRPr="00D000E8" w:rsidRDefault="003210FE" w:rsidP="003210FE">
      <w:pPr>
        <w:tabs>
          <w:tab w:val="left" w:pos="4752"/>
        </w:tabs>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EU</w:t>
      </w:r>
    </w:p>
    <w:p w14:paraId="2133A607" w14:textId="77777777" w:rsidR="00CB63F7" w:rsidRDefault="00CB63F7" w:rsidP="001F0222">
      <w:pPr>
        <w:jc w:val="both"/>
        <w:rPr>
          <w:rFonts w:ascii="Times New Roman" w:hAnsi="Times New Roman" w:cs="Times New Roman"/>
          <w:b/>
          <w:sz w:val="24"/>
          <w:szCs w:val="24"/>
        </w:rPr>
      </w:pPr>
    </w:p>
    <w:p w14:paraId="49CE3CD6" w14:textId="77777777" w:rsidR="00CB63F7" w:rsidRDefault="00CB63F7" w:rsidP="001F0222">
      <w:pPr>
        <w:jc w:val="both"/>
        <w:rPr>
          <w:rFonts w:ascii="Times New Roman" w:hAnsi="Times New Roman" w:cs="Times New Roman"/>
          <w:b/>
          <w:sz w:val="24"/>
          <w:szCs w:val="24"/>
        </w:rPr>
      </w:pPr>
    </w:p>
    <w:p w14:paraId="5EEF791A" w14:textId="0688D133" w:rsidR="001F0222" w:rsidRDefault="001F0222" w:rsidP="001F0222">
      <w:pPr>
        <w:jc w:val="both"/>
        <w:rPr>
          <w:rFonts w:ascii="Times New Roman" w:hAnsi="Times New Roman" w:cs="Times New Roman"/>
          <w:b/>
          <w:sz w:val="24"/>
          <w:szCs w:val="24"/>
        </w:rPr>
      </w:pPr>
      <w:r>
        <w:rPr>
          <w:rFonts w:ascii="Times New Roman" w:hAnsi="Times New Roman" w:cs="Times New Roman"/>
          <w:b/>
          <w:sz w:val="24"/>
          <w:szCs w:val="24"/>
        </w:rPr>
        <w:t>II</w:t>
      </w:r>
      <w:r w:rsidR="00D000E8">
        <w:rPr>
          <w:rFonts w:ascii="Times New Roman" w:hAnsi="Times New Roman" w:cs="Times New Roman"/>
          <w:b/>
          <w:sz w:val="24"/>
          <w:szCs w:val="24"/>
        </w:rPr>
        <w:t xml:space="preserve"> -</w:t>
      </w:r>
      <w:r w:rsidR="00A6757D">
        <w:rPr>
          <w:rFonts w:ascii="Times New Roman" w:hAnsi="Times New Roman" w:cs="Times New Roman"/>
          <w:b/>
          <w:sz w:val="24"/>
          <w:szCs w:val="24"/>
        </w:rPr>
        <w:t>DEDICATED SESSION ON ASSISTANCE AND CAPACITY BUILDING</w:t>
      </w:r>
    </w:p>
    <w:p w14:paraId="5F22CB54" w14:textId="59861344" w:rsidR="007B7FED" w:rsidRPr="00D000E8" w:rsidRDefault="007B7FED" w:rsidP="00D000E8">
      <w:pPr>
        <w:pStyle w:val="ListParagraph"/>
        <w:numPr>
          <w:ilvl w:val="0"/>
          <w:numId w:val="36"/>
        </w:numPr>
        <w:spacing w:line="240" w:lineRule="auto"/>
        <w:jc w:val="both"/>
        <w:rPr>
          <w:rFonts w:ascii="Times New Roman" w:eastAsiaTheme="minorEastAsia" w:hAnsi="Times New Roman" w:cs="Times New Roman"/>
          <w:b/>
          <w:sz w:val="24"/>
          <w:szCs w:val="24"/>
          <w:u w:val="single"/>
          <w:lang w:val="en-IE" w:eastAsia="zh-CN"/>
        </w:rPr>
      </w:pPr>
      <w:r w:rsidRPr="00D000E8">
        <w:rPr>
          <w:rFonts w:ascii="Times New Roman" w:eastAsiaTheme="minorEastAsia" w:hAnsi="Times New Roman" w:cs="Times New Roman"/>
          <w:b/>
          <w:sz w:val="24"/>
          <w:szCs w:val="24"/>
          <w:u w:val="single"/>
          <w:lang w:val="en-IE" w:eastAsia="zh-CN"/>
        </w:rPr>
        <w:t>Trade Facilitation within EU Aid for Trade</w:t>
      </w:r>
      <w:r w:rsidR="00915F44" w:rsidRPr="00D000E8">
        <w:rPr>
          <w:rFonts w:ascii="Times New Roman" w:eastAsiaTheme="minorEastAsia" w:hAnsi="Times New Roman" w:cs="Times New Roman"/>
          <w:b/>
          <w:sz w:val="24"/>
          <w:szCs w:val="24"/>
          <w:u w:val="single"/>
          <w:lang w:val="en-IE" w:eastAsia="zh-CN"/>
        </w:rPr>
        <w:t xml:space="preserve"> strategy and support</w:t>
      </w:r>
    </w:p>
    <w:p w14:paraId="54DF363F" w14:textId="77777777" w:rsidR="007B7FED" w:rsidRPr="007B7FED" w:rsidRDefault="007B7FED" w:rsidP="007B7FED">
      <w:pPr>
        <w:spacing w:line="240" w:lineRule="auto"/>
        <w:ind w:left="1080"/>
        <w:contextualSpacing/>
        <w:jc w:val="both"/>
        <w:rPr>
          <w:rFonts w:ascii="Times New Roman" w:eastAsiaTheme="minorEastAsia" w:hAnsi="Times New Roman" w:cs="Times New Roman"/>
          <w:b/>
          <w:sz w:val="24"/>
          <w:szCs w:val="24"/>
          <w:lang w:val="en-IE" w:eastAsia="zh-CN"/>
        </w:rPr>
      </w:pPr>
    </w:p>
    <w:p w14:paraId="1230FBD6"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val="en-IE" w:eastAsia="zh-CN"/>
        </w:rPr>
      </w:pPr>
      <w:r w:rsidRPr="007B7FED">
        <w:rPr>
          <w:rFonts w:ascii="Times New Roman" w:eastAsiaTheme="minorEastAsia" w:hAnsi="Times New Roman" w:cs="Times New Roman"/>
          <w:b/>
          <w:sz w:val="24"/>
          <w:szCs w:val="24"/>
          <w:lang w:eastAsia="zh-CN"/>
        </w:rPr>
        <w:t>T</w:t>
      </w:r>
      <w:proofErr w:type="spellStart"/>
      <w:r w:rsidRPr="007B7FED">
        <w:rPr>
          <w:rFonts w:ascii="Times New Roman" w:eastAsiaTheme="minorEastAsia" w:hAnsi="Times New Roman" w:cs="Times New Roman"/>
          <w:b/>
          <w:sz w:val="24"/>
          <w:szCs w:val="24"/>
          <w:lang w:val="en-IE" w:eastAsia="zh-CN"/>
        </w:rPr>
        <w:t>rade</w:t>
      </w:r>
      <w:proofErr w:type="spellEnd"/>
      <w:r w:rsidRPr="007B7FED">
        <w:rPr>
          <w:rFonts w:ascii="Times New Roman" w:eastAsiaTheme="minorEastAsia" w:hAnsi="Times New Roman" w:cs="Times New Roman"/>
          <w:b/>
          <w:sz w:val="24"/>
          <w:szCs w:val="24"/>
          <w:lang w:val="en-IE" w:eastAsia="zh-CN"/>
        </w:rPr>
        <w:t xml:space="preserve"> facilitation and integration of partner countries in global trade play a critical role in EU development cooperation. </w:t>
      </w:r>
    </w:p>
    <w:p w14:paraId="7C39F843" w14:textId="77777777" w:rsidR="007B7FED" w:rsidRPr="007B7FED" w:rsidRDefault="007B7FED" w:rsidP="007B7FED">
      <w:pPr>
        <w:spacing w:after="0" w:line="240" w:lineRule="auto"/>
        <w:ind w:left="720"/>
        <w:contextualSpacing/>
        <w:jc w:val="both"/>
        <w:rPr>
          <w:rFonts w:ascii="Times New Roman" w:eastAsiaTheme="minorEastAsia" w:hAnsi="Times New Roman" w:cs="Times New Roman"/>
          <w:b/>
          <w:sz w:val="24"/>
          <w:szCs w:val="24"/>
          <w:lang w:val="en-IE" w:eastAsia="zh-CN"/>
        </w:rPr>
      </w:pPr>
    </w:p>
    <w:p w14:paraId="56F61308"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val="en-IE" w:eastAsia="zh-CN"/>
        </w:rPr>
      </w:pPr>
      <w:r w:rsidRPr="007B7FED">
        <w:rPr>
          <w:rFonts w:ascii="Times New Roman" w:eastAsiaTheme="minorEastAsia" w:hAnsi="Times New Roman" w:cs="Times New Roman"/>
          <w:b/>
          <w:sz w:val="24"/>
          <w:szCs w:val="24"/>
          <w:lang w:val="en-IE" w:eastAsia="zh-CN"/>
        </w:rPr>
        <w:t>Trade facilitation gained initial prominence with the entry of force into the WTO Trade Facilitation Agreement (TFA). From the entry into force of the Agreement, the EU and its Member States have committed to mobilise at least EUR 400 million in trade facilitation assistance over a five-year period, including for projects improving developing countries’ customs systems. Specifically, EU Aid for Trade will prioritise those Trade Facilitation Agreement provisions notified as Category C</w:t>
      </w:r>
      <w:r w:rsidRPr="007B7FED">
        <w:rPr>
          <w:rFonts w:ascii="Times New Roman" w:eastAsiaTheme="minorEastAsia" w:hAnsi="Times New Roman" w:cs="Times New Roman"/>
          <w:b/>
          <w:sz w:val="24"/>
          <w:szCs w:val="24"/>
          <w:vertAlign w:val="superscript"/>
          <w:lang w:val="en-IE" w:eastAsia="zh-CN"/>
        </w:rPr>
        <w:footnoteReference w:id="1"/>
      </w:r>
      <w:r w:rsidRPr="007B7FED">
        <w:rPr>
          <w:rFonts w:ascii="Times New Roman" w:eastAsiaTheme="minorEastAsia" w:hAnsi="Times New Roman" w:cs="Times New Roman"/>
          <w:b/>
          <w:sz w:val="24"/>
          <w:szCs w:val="24"/>
          <w:lang w:val="en-IE" w:eastAsia="zh-CN"/>
        </w:rPr>
        <w:t xml:space="preserve">. </w:t>
      </w:r>
    </w:p>
    <w:p w14:paraId="3944FAF0" w14:textId="77777777" w:rsidR="007B7FED" w:rsidRPr="007B7FED" w:rsidRDefault="007B7FED" w:rsidP="007B7FED">
      <w:pPr>
        <w:spacing w:after="0" w:line="240" w:lineRule="auto"/>
        <w:ind w:left="720"/>
        <w:contextualSpacing/>
        <w:jc w:val="both"/>
        <w:rPr>
          <w:rFonts w:ascii="Times New Roman" w:eastAsiaTheme="minorEastAsia" w:hAnsi="Times New Roman" w:cs="Times New Roman"/>
          <w:b/>
          <w:sz w:val="24"/>
          <w:szCs w:val="24"/>
          <w:lang w:val="en-IE" w:eastAsia="zh-CN"/>
        </w:rPr>
      </w:pPr>
    </w:p>
    <w:p w14:paraId="265BABA5"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The EU’s Aid for Trade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Strategy was adopted in October 2007 in response to the WTO-led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Initiative to help developing countries better integrate into the international trading system and take greater advantage of poverty-reducing benefits of economic openness and enhanced trade efficiency. In context of the 2030 Agenda, the 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Strategy was subsequently updated in 2017</w:t>
      </w:r>
      <w:r w:rsidRPr="007B7FED">
        <w:rPr>
          <w:rFonts w:ascii="Times New Roman" w:eastAsiaTheme="minorEastAsia" w:hAnsi="Times New Roman" w:cs="Times New Roman"/>
          <w:b/>
          <w:sz w:val="24"/>
          <w:szCs w:val="24"/>
          <w:vertAlign w:val="superscript"/>
          <w:lang w:eastAsia="zh-CN"/>
        </w:rPr>
        <w:footnoteReference w:id="2"/>
      </w:r>
      <w:r w:rsidRPr="007B7FED">
        <w:rPr>
          <w:rFonts w:ascii="Times New Roman" w:eastAsiaTheme="minorEastAsia" w:hAnsi="Times New Roman" w:cs="Times New Roman"/>
          <w:b/>
          <w:sz w:val="24"/>
          <w:szCs w:val="24"/>
          <w:lang w:eastAsia="zh-CN"/>
        </w:rPr>
        <w:t xml:space="preserve">. </w:t>
      </w:r>
    </w:p>
    <w:p w14:paraId="25D4A658" w14:textId="77777777" w:rsidR="007B7FED" w:rsidRPr="007B7FED" w:rsidRDefault="007B7FED" w:rsidP="007B7FED">
      <w:pPr>
        <w:spacing w:line="240" w:lineRule="auto"/>
        <w:ind w:left="720"/>
        <w:contextualSpacing/>
        <w:jc w:val="both"/>
        <w:rPr>
          <w:rFonts w:ascii="Times New Roman" w:eastAsiaTheme="minorEastAsia" w:hAnsi="Times New Roman" w:cs="Times New Roman"/>
          <w:b/>
          <w:sz w:val="24"/>
          <w:szCs w:val="24"/>
          <w:lang w:eastAsia="zh-CN"/>
        </w:rPr>
      </w:pPr>
    </w:p>
    <w:p w14:paraId="69FE49CB"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 xml:space="preserve">The Strategy’s objectives – the reduction of poverty and the integration of developing countries into world trade - remain unchanged. However, in the advancement of new instruments, such as the European External Investment Plan (EIP), the vision for 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has evolved to deliver the high volume of 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in an effective and impactful way, to seek complementarity between EU trade and development policies and to increase its effectiveness in the Least Developed Countries (LDCs) as priority. </w:t>
      </w:r>
    </w:p>
    <w:p w14:paraId="5B61EA0E" w14:textId="77777777" w:rsidR="007B7FED" w:rsidRPr="007B7FED" w:rsidRDefault="007B7FED" w:rsidP="007B7FED">
      <w:pPr>
        <w:ind w:left="720"/>
        <w:contextualSpacing/>
        <w:rPr>
          <w:rFonts w:ascii="Times New Roman" w:eastAsiaTheme="minorEastAsia" w:hAnsi="Times New Roman" w:cs="Times New Roman"/>
          <w:b/>
          <w:sz w:val="24"/>
          <w:szCs w:val="24"/>
          <w:lang w:eastAsia="zh-CN"/>
        </w:rPr>
      </w:pPr>
    </w:p>
    <w:p w14:paraId="565CF7D9"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 xml:space="preserve">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encompasses a third of EU projects and programmes supporting trade and productive capacities in developing countries. 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operated within the partner countries and regions’ trade and economic policies as mainstreamed into their development strategies. It plays a vital role in building the capacity of developing countries to negotiate and implement such agreements. We also work with key actors in partner countries, across many areas and types of aid, from strengthening the capacity of local government and private sector, to the facilitation of customs procedures and compliance with safety, technical and quality standards. </w:t>
      </w:r>
    </w:p>
    <w:p w14:paraId="479D14BA" w14:textId="77777777" w:rsidR="007B7FED" w:rsidRPr="007B7FED" w:rsidRDefault="007B7FED" w:rsidP="007B7FED">
      <w:pPr>
        <w:ind w:left="720"/>
        <w:contextualSpacing/>
        <w:rPr>
          <w:rFonts w:ascii="Times New Roman" w:eastAsiaTheme="minorEastAsia" w:hAnsi="Times New Roman" w:cs="Times New Roman"/>
          <w:b/>
          <w:sz w:val="24"/>
          <w:szCs w:val="24"/>
          <w:lang w:eastAsia="zh-CN"/>
        </w:rPr>
      </w:pPr>
    </w:p>
    <w:p w14:paraId="7030F5B0"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 xml:space="preserve">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maintains a high degree of flexibility in order to incorporate the development cooperation implications of WTO topics relating to both existing negotiations and commitments. Multilateral and bilateral trade agreements which partner countries adhere to, including the TFA, Free Trade Agreements and Economic Partnership Agreements, are strong drivers for reform that 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supports and builds on to scale up the development impact. In Africa specifically, implementation of the Continental Free Trade Area (</w:t>
      </w:r>
      <w:proofErr w:type="spellStart"/>
      <w:r w:rsidRPr="007B7FED">
        <w:rPr>
          <w:rFonts w:ascii="Times New Roman" w:eastAsiaTheme="minorEastAsia" w:hAnsi="Times New Roman" w:cs="Times New Roman"/>
          <w:b/>
          <w:sz w:val="24"/>
          <w:szCs w:val="24"/>
          <w:lang w:eastAsia="zh-CN"/>
        </w:rPr>
        <w:t>AfCFTA</w:t>
      </w:r>
      <w:proofErr w:type="spellEnd"/>
      <w:r w:rsidRPr="007B7FED">
        <w:rPr>
          <w:rFonts w:ascii="Times New Roman" w:eastAsiaTheme="minorEastAsia" w:hAnsi="Times New Roman" w:cs="Times New Roman"/>
          <w:b/>
          <w:sz w:val="24"/>
          <w:szCs w:val="24"/>
          <w:lang w:eastAsia="zh-CN"/>
        </w:rPr>
        <w:t xml:space="preserve">) will be one of such drivers. </w:t>
      </w:r>
    </w:p>
    <w:p w14:paraId="214E6424" w14:textId="77777777" w:rsidR="007B7FED" w:rsidRPr="007B7FED" w:rsidRDefault="007B7FED" w:rsidP="007B7FED">
      <w:pPr>
        <w:ind w:left="720"/>
        <w:contextualSpacing/>
        <w:rPr>
          <w:rFonts w:ascii="Times New Roman" w:eastAsiaTheme="minorEastAsia" w:hAnsi="Times New Roman" w:cs="Times New Roman"/>
          <w:b/>
          <w:sz w:val="24"/>
          <w:szCs w:val="24"/>
          <w:lang w:eastAsia="zh-CN"/>
        </w:rPr>
      </w:pPr>
    </w:p>
    <w:p w14:paraId="57646EA7"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During the 7</w:t>
      </w:r>
      <w:r w:rsidRPr="007B7FED">
        <w:rPr>
          <w:rFonts w:ascii="Times New Roman" w:eastAsiaTheme="minorEastAsia" w:hAnsi="Times New Roman" w:cs="Times New Roman"/>
          <w:b/>
          <w:sz w:val="24"/>
          <w:szCs w:val="24"/>
          <w:vertAlign w:val="superscript"/>
          <w:lang w:eastAsia="zh-CN"/>
        </w:rPr>
        <w:t>th</w:t>
      </w:r>
      <w:r w:rsidRPr="007B7FED">
        <w:rPr>
          <w:rFonts w:ascii="Times New Roman" w:eastAsiaTheme="minorEastAsia" w:hAnsi="Times New Roman" w:cs="Times New Roman"/>
          <w:b/>
          <w:sz w:val="24"/>
          <w:szCs w:val="24"/>
          <w:lang w:eastAsia="zh-CN"/>
        </w:rPr>
        <w:t xml:space="preserve"> Global Aid for Trade Review at the WTO in Geneva of July of this year, the EU launched its EU Aid for Trade Progress Report. The Report reflects the prioritisation of a stronger coherence between EU and MS’ development priorities and trade and investment instruments, with a view to improve the economic, job creation and sustainability impacts. The Report itself is based on both qualitative data extracted from the OECD Development Assistance Committee Credit Reporting System, as well as qualitative information conveyed by EU Delegations, including information on projects from Member States in developing countries. The Report includes information on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related to trade facilitation. </w:t>
      </w:r>
    </w:p>
    <w:p w14:paraId="42F5D1A3" w14:textId="77777777" w:rsidR="007B7FED" w:rsidRPr="007B7FED" w:rsidRDefault="007B7FED" w:rsidP="007B7FED">
      <w:pPr>
        <w:ind w:left="720"/>
        <w:contextualSpacing/>
        <w:rPr>
          <w:rFonts w:ascii="Times New Roman" w:eastAsiaTheme="minorEastAsia" w:hAnsi="Times New Roman" w:cs="Times New Roman"/>
          <w:b/>
          <w:sz w:val="24"/>
          <w:szCs w:val="24"/>
          <w:lang w:eastAsia="zh-CN"/>
        </w:rPr>
      </w:pPr>
    </w:p>
    <w:p w14:paraId="6B78334D"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 xml:space="preserve">More than half of the countries where EU Delegations were surveyed have or intend to request assistance to implement provisions of the TFA. The EU is ready to respond to this, including supporting the establishment and effective cooperation of the National Committees for Trade Facilitation (NCTF). </w:t>
      </w:r>
    </w:p>
    <w:p w14:paraId="7D55100C" w14:textId="77777777" w:rsidR="007B7FED" w:rsidRPr="007B7FED" w:rsidRDefault="007B7FED" w:rsidP="007B7FED">
      <w:pPr>
        <w:ind w:left="720"/>
        <w:contextualSpacing/>
        <w:rPr>
          <w:rFonts w:ascii="Times New Roman" w:eastAsiaTheme="minorEastAsia" w:hAnsi="Times New Roman" w:cs="Times New Roman"/>
          <w:b/>
          <w:sz w:val="24"/>
          <w:szCs w:val="24"/>
          <w:lang w:eastAsia="zh-CN"/>
        </w:rPr>
      </w:pPr>
    </w:p>
    <w:p w14:paraId="43559EF6"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 xml:space="preserve">As EU </w:t>
      </w:r>
      <w:proofErr w:type="spellStart"/>
      <w:r w:rsidRPr="007B7FED">
        <w:rPr>
          <w:rFonts w:ascii="Times New Roman" w:eastAsiaTheme="minorEastAsia" w:hAnsi="Times New Roman" w:cs="Times New Roman"/>
          <w:b/>
          <w:sz w:val="24"/>
          <w:szCs w:val="24"/>
          <w:lang w:eastAsia="zh-CN"/>
        </w:rPr>
        <w:t>AfT</w:t>
      </w:r>
      <w:proofErr w:type="spellEnd"/>
      <w:r w:rsidRPr="007B7FED">
        <w:rPr>
          <w:rFonts w:ascii="Times New Roman" w:eastAsiaTheme="minorEastAsia" w:hAnsi="Times New Roman" w:cs="Times New Roman"/>
          <w:b/>
          <w:sz w:val="24"/>
          <w:szCs w:val="24"/>
          <w:lang w:eastAsia="zh-CN"/>
        </w:rPr>
        <w:t xml:space="preserve"> actions continue to expand and deepen, the establishment of active NCTF in developing countries is indeed pivotal to these actions. NCTF are composed of a dynamic working group of implementing agencies (e.g. Customs, Port Authorities), public institutions (e.g. Ministry of Transport) and the Private Sector (e.g. importers and exporters, carries and shipping associations). </w:t>
      </w:r>
    </w:p>
    <w:p w14:paraId="46C00DEC" w14:textId="77777777" w:rsidR="007B7FED" w:rsidRPr="007B7FED" w:rsidRDefault="007B7FED" w:rsidP="007B7FED">
      <w:pPr>
        <w:ind w:left="720"/>
        <w:contextualSpacing/>
        <w:rPr>
          <w:rFonts w:ascii="Times New Roman" w:eastAsiaTheme="minorEastAsia" w:hAnsi="Times New Roman" w:cs="Times New Roman"/>
          <w:b/>
          <w:sz w:val="24"/>
          <w:szCs w:val="24"/>
          <w:lang w:eastAsia="zh-CN"/>
        </w:rPr>
      </w:pPr>
    </w:p>
    <w:p w14:paraId="50E2E64F" w14:textId="77777777" w:rsidR="007B7FED" w:rsidRPr="007B7FED" w:rsidRDefault="007B7FED" w:rsidP="007B7FED">
      <w:pPr>
        <w:numPr>
          <w:ilvl w:val="0"/>
          <w:numId w:val="24"/>
        </w:numPr>
        <w:spacing w:after="0" w:line="240" w:lineRule="auto"/>
        <w:contextualSpacing/>
        <w:jc w:val="both"/>
        <w:rPr>
          <w:rFonts w:ascii="Times New Roman" w:eastAsiaTheme="minorEastAsia" w:hAnsi="Times New Roman" w:cs="Times New Roman"/>
          <w:b/>
          <w:sz w:val="24"/>
          <w:szCs w:val="24"/>
          <w:lang w:eastAsia="zh-CN"/>
        </w:rPr>
      </w:pPr>
      <w:r w:rsidRPr="007B7FED">
        <w:rPr>
          <w:rFonts w:ascii="Times New Roman" w:eastAsiaTheme="minorEastAsia" w:hAnsi="Times New Roman" w:cs="Times New Roman"/>
          <w:b/>
          <w:sz w:val="24"/>
          <w:szCs w:val="24"/>
          <w:lang w:eastAsia="zh-CN"/>
        </w:rPr>
        <w:t xml:space="preserve">In 2018, the EU provided a full and clear overview to the WTO of current projects in the Aid for Trade Facilitation spectrum, and could provide key and concise updates for 2019. </w:t>
      </w:r>
    </w:p>
    <w:p w14:paraId="2BAA3ACB" w14:textId="77777777" w:rsidR="007B7FED" w:rsidRPr="007B7FED" w:rsidRDefault="007B7FED" w:rsidP="007B7FED">
      <w:pPr>
        <w:ind w:left="720"/>
        <w:contextualSpacing/>
        <w:jc w:val="both"/>
        <w:rPr>
          <w:rFonts w:ascii="Times New Roman" w:eastAsiaTheme="minorEastAsia" w:hAnsi="Times New Roman" w:cs="Times New Roman"/>
          <w:sz w:val="24"/>
          <w:szCs w:val="24"/>
          <w:lang w:val="en-IE" w:eastAsia="zh-CN"/>
        </w:rPr>
      </w:pPr>
    </w:p>
    <w:p w14:paraId="1FE0DAB2" w14:textId="09D17B51" w:rsidR="007B7FED" w:rsidRPr="00D000E8" w:rsidRDefault="007B7FED" w:rsidP="00D000E8">
      <w:pPr>
        <w:pStyle w:val="ListParagraph"/>
        <w:numPr>
          <w:ilvl w:val="0"/>
          <w:numId w:val="36"/>
        </w:numPr>
        <w:spacing w:after="0" w:line="240" w:lineRule="auto"/>
        <w:jc w:val="both"/>
        <w:rPr>
          <w:rFonts w:ascii="Times New Roman" w:eastAsiaTheme="minorEastAsia" w:hAnsi="Times New Roman" w:cs="Times New Roman"/>
          <w:b/>
          <w:sz w:val="24"/>
          <w:szCs w:val="24"/>
          <w:u w:val="single"/>
          <w:lang w:val="en-IE" w:eastAsia="zh-CN"/>
        </w:rPr>
      </w:pPr>
      <w:r w:rsidRPr="00D000E8">
        <w:rPr>
          <w:rFonts w:ascii="Times New Roman" w:eastAsiaTheme="minorEastAsia" w:hAnsi="Times New Roman" w:cs="Times New Roman"/>
          <w:b/>
          <w:sz w:val="24"/>
          <w:szCs w:val="24"/>
          <w:u w:val="single"/>
          <w:lang w:val="en-IE" w:eastAsia="zh-CN"/>
        </w:rPr>
        <w:t>Examples of EU Aid for Trade Programs in the area of Trade Facilitation:</w:t>
      </w:r>
    </w:p>
    <w:p w14:paraId="10329A29" w14:textId="77777777" w:rsidR="007B7FED" w:rsidRPr="007B7FED" w:rsidRDefault="007B7FED" w:rsidP="007B7FED">
      <w:pPr>
        <w:spacing w:after="0" w:line="240" w:lineRule="auto"/>
        <w:jc w:val="both"/>
        <w:rPr>
          <w:rFonts w:ascii="Times New Roman" w:eastAsiaTheme="minorEastAsia" w:hAnsi="Times New Roman" w:cs="Times New Roman"/>
          <w:b/>
          <w:sz w:val="24"/>
          <w:szCs w:val="24"/>
          <w:u w:val="single"/>
          <w:lang w:val="en-IE" w:eastAsia="zh-CN"/>
        </w:rPr>
      </w:pPr>
    </w:p>
    <w:p w14:paraId="0050D2EB" w14:textId="77777777" w:rsidR="007B7FED" w:rsidRPr="007B7FED" w:rsidRDefault="007B7FED" w:rsidP="007B7FED">
      <w:pPr>
        <w:numPr>
          <w:ilvl w:val="0"/>
          <w:numId w:val="25"/>
        </w:numPr>
        <w:spacing w:after="0" w:line="240" w:lineRule="auto"/>
        <w:contextualSpacing/>
        <w:jc w:val="both"/>
        <w:rPr>
          <w:rFonts w:ascii="Times New Roman" w:eastAsiaTheme="minorEastAsia" w:hAnsi="Times New Roman" w:cs="Times New Roman"/>
          <w:b/>
          <w:sz w:val="24"/>
          <w:szCs w:val="24"/>
          <w:lang w:val="en-IE" w:eastAsia="zh-CN"/>
        </w:rPr>
      </w:pPr>
      <w:r w:rsidRPr="007B7FED">
        <w:rPr>
          <w:rFonts w:ascii="Times New Roman" w:eastAsiaTheme="minorEastAsia" w:hAnsi="Times New Roman" w:cs="Times New Roman"/>
          <w:b/>
          <w:sz w:val="24"/>
          <w:szCs w:val="24"/>
          <w:lang w:val="en-IE" w:eastAsia="zh-CN"/>
        </w:rPr>
        <w:t>The EU and Member States are among the main donors regarding Trade Facilitation, with commitments reaching EUR 154 million in 2017</w:t>
      </w:r>
      <w:r w:rsidRPr="007B7FED">
        <w:rPr>
          <w:rFonts w:ascii="Times New Roman" w:eastAsiaTheme="minorEastAsia" w:hAnsi="Times New Roman" w:cs="Times New Roman"/>
          <w:b/>
          <w:sz w:val="24"/>
          <w:szCs w:val="24"/>
          <w:vertAlign w:val="superscript"/>
          <w:lang w:val="en-IE" w:eastAsia="zh-CN"/>
        </w:rPr>
        <w:footnoteReference w:id="3"/>
      </w:r>
      <w:r w:rsidRPr="007B7FED">
        <w:rPr>
          <w:rFonts w:ascii="Times New Roman" w:eastAsiaTheme="minorEastAsia" w:hAnsi="Times New Roman" w:cs="Times New Roman"/>
          <w:b/>
          <w:sz w:val="24"/>
          <w:szCs w:val="24"/>
          <w:lang w:val="en-IE" w:eastAsia="zh-CN"/>
        </w:rPr>
        <w:t>. We have clear examples of EU-funded regional and country programs that are actively contributing towards trade facilitation efforts in partner countries.</w:t>
      </w:r>
    </w:p>
    <w:p w14:paraId="37B82171" w14:textId="77777777" w:rsidR="007B7FED" w:rsidRPr="007B7FED" w:rsidRDefault="007B7FED" w:rsidP="007B7FED">
      <w:pPr>
        <w:spacing w:after="0" w:line="240" w:lineRule="auto"/>
        <w:jc w:val="both"/>
        <w:rPr>
          <w:rFonts w:ascii="Times New Roman" w:eastAsiaTheme="minorEastAsia" w:hAnsi="Times New Roman" w:cs="Times New Roman"/>
          <w:b/>
          <w:sz w:val="24"/>
          <w:szCs w:val="24"/>
          <w:lang w:val="en-IE" w:eastAsia="zh-CN"/>
        </w:rPr>
      </w:pPr>
    </w:p>
    <w:p w14:paraId="2DE7BC01" w14:textId="77777777" w:rsidR="007B7FED" w:rsidRPr="007B7FED" w:rsidRDefault="007B7FED" w:rsidP="007B7FED">
      <w:pPr>
        <w:numPr>
          <w:ilvl w:val="0"/>
          <w:numId w:val="25"/>
        </w:numPr>
        <w:spacing w:after="0" w:line="240" w:lineRule="auto"/>
        <w:contextualSpacing/>
        <w:jc w:val="both"/>
        <w:rPr>
          <w:rFonts w:ascii="Times New Roman" w:eastAsiaTheme="minorEastAsia" w:hAnsi="Times New Roman" w:cs="Times New Roman"/>
          <w:b/>
          <w:sz w:val="24"/>
          <w:szCs w:val="24"/>
          <w:lang w:val="en-IE" w:eastAsia="zh-CN"/>
        </w:rPr>
      </w:pPr>
      <w:r w:rsidRPr="007B7FED">
        <w:rPr>
          <w:rFonts w:ascii="Times New Roman" w:eastAsiaTheme="minorEastAsia" w:hAnsi="Times New Roman" w:cs="Times New Roman"/>
          <w:b/>
          <w:sz w:val="24"/>
          <w:szCs w:val="24"/>
          <w:lang w:val="en-IE" w:eastAsia="zh-CN"/>
        </w:rPr>
        <w:t xml:space="preserve">First, the </w:t>
      </w:r>
      <w:r w:rsidRPr="007B7FED">
        <w:rPr>
          <w:rFonts w:ascii="Times New Roman" w:eastAsiaTheme="minorEastAsia" w:hAnsi="Times New Roman" w:cs="Times New Roman"/>
          <w:b/>
          <w:i/>
          <w:sz w:val="24"/>
          <w:szCs w:val="24"/>
          <w:lang w:val="en-IE" w:eastAsia="zh-CN"/>
        </w:rPr>
        <w:t>West Africa Trade Facilitation Programme</w:t>
      </w:r>
      <w:r w:rsidRPr="007B7FED">
        <w:rPr>
          <w:rFonts w:ascii="Times New Roman" w:eastAsiaTheme="minorEastAsia" w:hAnsi="Times New Roman" w:cs="Times New Roman"/>
          <w:b/>
          <w:sz w:val="24"/>
          <w:szCs w:val="24"/>
          <w:lang w:val="en-IE" w:eastAsia="zh-CN"/>
        </w:rPr>
        <w:t xml:space="preserve">, jointly commissioned by the EU (EUR 20 million), the WBG and GIZ, commenced in September 2018 and is improving and effectively implementing trade facilitation measures at the </w:t>
      </w:r>
      <w:r w:rsidRPr="007B7FED">
        <w:rPr>
          <w:rFonts w:ascii="Times New Roman" w:eastAsiaTheme="minorEastAsia" w:hAnsi="Times New Roman" w:cs="Times New Roman"/>
          <w:b/>
          <w:sz w:val="24"/>
          <w:szCs w:val="24"/>
          <w:lang w:val="en-IE" w:eastAsia="zh-CN"/>
        </w:rPr>
        <w:lastRenderedPageBreak/>
        <w:t xml:space="preserve">regional and national levels, encouraging a more efficient movement of goods along selected corridors and reducing barriers for small-scale traders, with an emphasis on improving conditions for female traders in particular. </w:t>
      </w:r>
    </w:p>
    <w:p w14:paraId="2E242CF5" w14:textId="77777777" w:rsidR="007B7FED" w:rsidRPr="007B7FED" w:rsidRDefault="007B7FED" w:rsidP="007B7FED">
      <w:pPr>
        <w:ind w:left="720"/>
        <w:contextualSpacing/>
        <w:jc w:val="both"/>
        <w:rPr>
          <w:rFonts w:ascii="Times New Roman" w:eastAsiaTheme="minorEastAsia" w:hAnsi="Times New Roman" w:cs="Times New Roman"/>
          <w:b/>
          <w:sz w:val="24"/>
          <w:szCs w:val="24"/>
          <w:lang w:val="en-IE" w:eastAsia="zh-CN"/>
        </w:rPr>
      </w:pPr>
    </w:p>
    <w:p w14:paraId="3CDD8E7E" w14:textId="77777777" w:rsidR="007B7FED" w:rsidRPr="007B7FED" w:rsidRDefault="007B7FED" w:rsidP="007B7FED">
      <w:pPr>
        <w:numPr>
          <w:ilvl w:val="0"/>
          <w:numId w:val="25"/>
        </w:numPr>
        <w:spacing w:after="0" w:line="240" w:lineRule="auto"/>
        <w:contextualSpacing/>
        <w:jc w:val="both"/>
        <w:rPr>
          <w:rFonts w:ascii="Times New Roman" w:eastAsiaTheme="minorEastAsia" w:hAnsi="Times New Roman" w:cs="Times New Roman"/>
          <w:b/>
          <w:sz w:val="24"/>
          <w:szCs w:val="24"/>
          <w:lang w:val="en-IE" w:eastAsia="zh-CN"/>
        </w:rPr>
      </w:pPr>
      <w:r w:rsidRPr="007B7FED">
        <w:rPr>
          <w:rFonts w:ascii="Times New Roman" w:eastAsiaTheme="minorEastAsia" w:hAnsi="Times New Roman" w:cs="Times New Roman"/>
          <w:b/>
          <w:sz w:val="24"/>
          <w:szCs w:val="24"/>
          <w:lang w:val="en-IE" w:eastAsia="zh-CN"/>
        </w:rPr>
        <w:t xml:space="preserve">Second, the </w:t>
      </w:r>
      <w:r w:rsidRPr="007B7FED">
        <w:rPr>
          <w:rFonts w:ascii="Times New Roman" w:eastAsiaTheme="minorEastAsia" w:hAnsi="Times New Roman" w:cs="Times New Roman"/>
          <w:b/>
          <w:i/>
          <w:sz w:val="24"/>
          <w:szCs w:val="24"/>
          <w:lang w:val="en-IE" w:eastAsia="zh-CN"/>
        </w:rPr>
        <w:t>COMESA Programme on Small-Scale Cross-Border Trading</w:t>
      </w:r>
      <w:r w:rsidRPr="007B7FED">
        <w:rPr>
          <w:rFonts w:ascii="Times New Roman" w:eastAsiaTheme="minorEastAsia" w:hAnsi="Times New Roman" w:cs="Times New Roman"/>
          <w:b/>
          <w:sz w:val="24"/>
          <w:szCs w:val="24"/>
          <w:lang w:val="en-IE" w:eastAsia="zh-CN"/>
        </w:rPr>
        <w:t xml:space="preserve"> (EUR 15 million) is increasing </w:t>
      </w:r>
      <w:r w:rsidRPr="007B7FED">
        <w:rPr>
          <w:rFonts w:ascii="Times New Roman" w:eastAsiaTheme="minorEastAsia" w:hAnsi="Times New Roman" w:cs="Times New Roman"/>
          <w:b/>
          <w:sz w:val="24"/>
          <w:szCs w:val="24"/>
          <w:lang w:eastAsia="zh-CN"/>
        </w:rPr>
        <w:t>the formalisation of informal cross-border trade and enhancing small-scale cross-border trade flows in the COMESA/tripartite region, leading to increased fiscal revenues for governments as well as to increased security and higher incomes for small-scale cross-border traders.</w:t>
      </w:r>
    </w:p>
    <w:p w14:paraId="1AB0494C" w14:textId="77777777" w:rsidR="007B7FED" w:rsidRPr="007B7FED" w:rsidRDefault="007B7FED" w:rsidP="007B7FED">
      <w:pPr>
        <w:ind w:left="720"/>
        <w:contextualSpacing/>
        <w:jc w:val="both"/>
        <w:rPr>
          <w:rFonts w:ascii="Times New Roman" w:eastAsiaTheme="minorEastAsia" w:hAnsi="Times New Roman" w:cs="Times New Roman"/>
          <w:b/>
          <w:sz w:val="24"/>
          <w:szCs w:val="24"/>
          <w:lang w:val="en-IE" w:eastAsia="zh-CN"/>
        </w:rPr>
      </w:pPr>
    </w:p>
    <w:p w14:paraId="77F8B40F" w14:textId="77777777" w:rsidR="007B7FED" w:rsidRPr="007B7FED" w:rsidRDefault="007B7FED" w:rsidP="007B7FED">
      <w:pPr>
        <w:numPr>
          <w:ilvl w:val="0"/>
          <w:numId w:val="25"/>
        </w:numPr>
        <w:spacing w:before="120" w:after="120"/>
        <w:contextualSpacing/>
        <w:jc w:val="both"/>
        <w:rPr>
          <w:rFonts w:ascii="Times New Roman" w:eastAsia="Calibri" w:hAnsi="Times New Roman" w:cs="Times New Roman"/>
          <w:b/>
          <w:sz w:val="24"/>
          <w:szCs w:val="24"/>
        </w:rPr>
      </w:pPr>
      <w:r w:rsidRPr="007B7FED">
        <w:rPr>
          <w:rFonts w:ascii="Times New Roman" w:eastAsiaTheme="minorEastAsia" w:hAnsi="Times New Roman" w:cs="Times New Roman"/>
          <w:b/>
          <w:sz w:val="24"/>
          <w:szCs w:val="24"/>
          <w:lang w:val="en-IE" w:eastAsia="zh-CN"/>
        </w:rPr>
        <w:t xml:space="preserve">Third, </w:t>
      </w:r>
      <w:r w:rsidRPr="007B7FED">
        <w:rPr>
          <w:rFonts w:ascii="Times New Roman" w:eastAsiaTheme="minorEastAsia" w:hAnsi="Times New Roman" w:cs="Times New Roman"/>
          <w:b/>
          <w:i/>
          <w:sz w:val="24"/>
          <w:szCs w:val="24"/>
          <w:lang w:val="en-IE" w:eastAsia="zh-CN"/>
        </w:rPr>
        <w:t>the INTEC (</w:t>
      </w:r>
      <w:proofErr w:type="spellStart"/>
      <w:r w:rsidRPr="007B7FED">
        <w:rPr>
          <w:rFonts w:ascii="Times New Roman" w:eastAsiaTheme="minorEastAsia" w:hAnsi="Times New Roman" w:cs="Times New Roman"/>
          <w:b/>
          <w:i/>
          <w:sz w:val="24"/>
          <w:szCs w:val="24"/>
          <w:lang w:eastAsia="zh-CN"/>
        </w:rPr>
        <w:t>Integración</w:t>
      </w:r>
      <w:proofErr w:type="spellEnd"/>
      <w:r w:rsidRPr="007B7FED">
        <w:rPr>
          <w:rFonts w:ascii="Times New Roman" w:eastAsiaTheme="minorEastAsia" w:hAnsi="Times New Roman" w:cs="Times New Roman"/>
          <w:b/>
          <w:i/>
          <w:sz w:val="24"/>
          <w:szCs w:val="24"/>
          <w:lang w:eastAsia="zh-CN"/>
        </w:rPr>
        <w:t xml:space="preserve"> </w:t>
      </w:r>
      <w:proofErr w:type="spellStart"/>
      <w:r w:rsidRPr="007B7FED">
        <w:rPr>
          <w:rFonts w:ascii="Times New Roman" w:eastAsiaTheme="minorEastAsia" w:hAnsi="Times New Roman" w:cs="Times New Roman"/>
          <w:b/>
          <w:i/>
          <w:sz w:val="24"/>
          <w:szCs w:val="24"/>
          <w:lang w:eastAsia="zh-CN"/>
        </w:rPr>
        <w:t>Económica</w:t>
      </w:r>
      <w:proofErr w:type="spellEnd"/>
      <w:r w:rsidRPr="007B7FED">
        <w:rPr>
          <w:rFonts w:ascii="Times New Roman" w:eastAsiaTheme="minorEastAsia" w:hAnsi="Times New Roman" w:cs="Times New Roman"/>
          <w:b/>
          <w:i/>
          <w:sz w:val="24"/>
          <w:szCs w:val="24"/>
          <w:lang w:eastAsia="zh-CN"/>
        </w:rPr>
        <w:t xml:space="preserve"> Regional </w:t>
      </w:r>
      <w:proofErr w:type="spellStart"/>
      <w:r w:rsidRPr="007B7FED">
        <w:rPr>
          <w:rFonts w:ascii="Times New Roman" w:eastAsiaTheme="minorEastAsia" w:hAnsi="Times New Roman" w:cs="Times New Roman"/>
          <w:b/>
          <w:i/>
          <w:sz w:val="24"/>
          <w:szCs w:val="24"/>
          <w:lang w:eastAsia="zh-CN"/>
        </w:rPr>
        <w:t>Centroamericana</w:t>
      </w:r>
      <w:proofErr w:type="spellEnd"/>
      <w:r w:rsidRPr="007B7FED">
        <w:rPr>
          <w:rFonts w:ascii="Times New Roman" w:eastAsiaTheme="minorEastAsia" w:hAnsi="Times New Roman" w:cs="Times New Roman"/>
          <w:b/>
          <w:i/>
          <w:sz w:val="24"/>
          <w:szCs w:val="24"/>
          <w:lang w:eastAsia="zh-CN"/>
        </w:rPr>
        <w:t>) Programme</w:t>
      </w:r>
      <w:r w:rsidRPr="007B7FED">
        <w:rPr>
          <w:rFonts w:ascii="Times New Roman" w:eastAsiaTheme="minorEastAsia" w:hAnsi="Times New Roman" w:cs="Times New Roman"/>
          <w:b/>
          <w:sz w:val="24"/>
          <w:szCs w:val="24"/>
          <w:lang w:eastAsia="zh-CN"/>
        </w:rPr>
        <w:t xml:space="preserve"> (EUR 20.5 million) is a flagship program for trade facilitation in Central America with the specific objective of </w:t>
      </w:r>
      <w:r w:rsidRPr="007B7FED">
        <w:rPr>
          <w:rFonts w:ascii="Times New Roman" w:eastAsia="Calibri" w:hAnsi="Times New Roman" w:cs="Times New Roman"/>
          <w:b/>
          <w:sz w:val="24"/>
          <w:szCs w:val="24"/>
        </w:rPr>
        <w:t xml:space="preserve">reducing the regional constraints to competitiveness and diversification in this region, by supporting trade facilitation and increasing capacity to trade in goods and services. </w:t>
      </w:r>
    </w:p>
    <w:p w14:paraId="1B20A048" w14:textId="77777777" w:rsidR="007B7FED" w:rsidRPr="007B7FED" w:rsidRDefault="007B7FED" w:rsidP="007B7FED">
      <w:pPr>
        <w:ind w:left="720"/>
        <w:contextualSpacing/>
        <w:rPr>
          <w:rFonts w:ascii="Times New Roman" w:eastAsia="Calibri" w:hAnsi="Times New Roman" w:cs="Times New Roman"/>
          <w:b/>
          <w:sz w:val="24"/>
          <w:szCs w:val="24"/>
        </w:rPr>
      </w:pPr>
    </w:p>
    <w:p w14:paraId="4DB1B54F" w14:textId="77777777" w:rsidR="007B7FED" w:rsidRPr="007B7FED" w:rsidRDefault="007B7FED" w:rsidP="007B7FED">
      <w:pPr>
        <w:numPr>
          <w:ilvl w:val="0"/>
          <w:numId w:val="25"/>
        </w:numPr>
        <w:spacing w:before="120" w:after="120"/>
        <w:contextualSpacing/>
        <w:jc w:val="both"/>
        <w:rPr>
          <w:rFonts w:ascii="Times New Roman" w:eastAsia="Calibri" w:hAnsi="Times New Roman" w:cs="Times New Roman"/>
          <w:b/>
          <w:sz w:val="24"/>
          <w:szCs w:val="24"/>
        </w:rPr>
      </w:pPr>
      <w:r w:rsidRPr="007B7FED">
        <w:rPr>
          <w:rFonts w:ascii="Times New Roman" w:eastAsia="Calibri" w:hAnsi="Times New Roman" w:cs="Times New Roman"/>
          <w:b/>
          <w:sz w:val="24"/>
          <w:szCs w:val="24"/>
        </w:rPr>
        <w:t xml:space="preserve">In addition, </w:t>
      </w:r>
      <w:r w:rsidRPr="007B7FED">
        <w:rPr>
          <w:rFonts w:ascii="Times New Roman" w:eastAsia="Calibri" w:hAnsi="Times New Roman" w:cs="Times New Roman"/>
          <w:b/>
          <w:i/>
          <w:sz w:val="24"/>
          <w:szCs w:val="24"/>
        </w:rPr>
        <w:t>the Support to Investment, Competitiveness and Trade in Central Asia Programme</w:t>
      </w:r>
      <w:r w:rsidRPr="007B7FED">
        <w:rPr>
          <w:rFonts w:ascii="Times New Roman" w:eastAsia="Calibri" w:hAnsi="Times New Roman" w:cs="Times New Roman"/>
          <w:b/>
          <w:sz w:val="24"/>
          <w:szCs w:val="24"/>
        </w:rPr>
        <w:t xml:space="preserve"> (EUR 31.2 million), focused on five countries (i.e. Kazakhstan, Kyrgyzstan, Tajikistan, Turkmenistan, Afghanistan and Mongolia) will promote international trade in Central Asia, as Kazakhstan, for instance, focuses on transforming its growth model away from reliance on natural resource extraction. With policy makers, ministries, private sector representative, and larger companies expected to benefit from trade facilitation reforms, the Programme will map trade regulation and procedures and publish them through online National Trade Facilitation Platforms, in compliance with the WTO Trade Facilitation Agreement. Furthermore, the Programme will provide capacity building for women’s associations to increase skills and confidence to advocate for their rights as traders and participate in the work of trade institutions, including NCTF. </w:t>
      </w:r>
    </w:p>
    <w:p w14:paraId="358578A8" w14:textId="77777777" w:rsidR="007B7FED" w:rsidRPr="007B7FED" w:rsidRDefault="007B7FED" w:rsidP="007B7FED">
      <w:pPr>
        <w:ind w:left="720"/>
        <w:contextualSpacing/>
        <w:jc w:val="both"/>
        <w:rPr>
          <w:rFonts w:ascii="Times New Roman" w:eastAsia="Calibri" w:hAnsi="Times New Roman" w:cs="Times New Roman"/>
          <w:b/>
          <w:sz w:val="24"/>
          <w:szCs w:val="24"/>
        </w:rPr>
      </w:pPr>
    </w:p>
    <w:p w14:paraId="5C72A084" w14:textId="77777777" w:rsidR="007B7FED" w:rsidRPr="007B7FED" w:rsidRDefault="007B7FED" w:rsidP="007B7FED">
      <w:pPr>
        <w:numPr>
          <w:ilvl w:val="0"/>
          <w:numId w:val="25"/>
        </w:numPr>
        <w:spacing w:before="120" w:after="120"/>
        <w:contextualSpacing/>
        <w:jc w:val="both"/>
        <w:rPr>
          <w:rFonts w:ascii="Times New Roman" w:eastAsia="Calibri" w:hAnsi="Times New Roman" w:cs="Times New Roman"/>
          <w:b/>
          <w:sz w:val="24"/>
          <w:szCs w:val="24"/>
        </w:rPr>
      </w:pPr>
      <w:r w:rsidRPr="007B7FED">
        <w:rPr>
          <w:rFonts w:ascii="Times New Roman" w:eastAsia="Calibri" w:hAnsi="Times New Roman" w:cs="Times New Roman"/>
          <w:b/>
          <w:sz w:val="24"/>
          <w:szCs w:val="24"/>
        </w:rPr>
        <w:t xml:space="preserve">At country level, the EU Trade-Related Technical Assistance (TRTA) Programme (EUR 4.55 million) has allowed </w:t>
      </w:r>
      <w:r w:rsidRPr="007B7FED">
        <w:rPr>
          <w:rFonts w:ascii="Times New Roman" w:eastAsia="Calibri" w:hAnsi="Times New Roman" w:cs="Times New Roman"/>
          <w:b/>
          <w:i/>
          <w:sz w:val="24"/>
          <w:szCs w:val="24"/>
        </w:rPr>
        <w:t>Afghanistan</w:t>
      </w:r>
      <w:r w:rsidRPr="007B7FED">
        <w:rPr>
          <w:rFonts w:ascii="Times New Roman" w:eastAsia="Calibri" w:hAnsi="Times New Roman" w:cs="Times New Roman"/>
          <w:b/>
          <w:sz w:val="24"/>
          <w:szCs w:val="24"/>
        </w:rPr>
        <w:t xml:space="preserve"> to advance swiftly in implementing the WTO TFA. Specifically, the EU has supported the Afghan government to categorise TFA commitments – including Category C – and supports the Afghan NTFC through increased private sector involvement, technical training and the promotion of inter-agency collaboration. </w:t>
      </w:r>
    </w:p>
    <w:p w14:paraId="3484DFD7" w14:textId="77777777" w:rsidR="007B7FED" w:rsidRPr="007B7FED" w:rsidRDefault="007B7FED" w:rsidP="007B7FED">
      <w:pPr>
        <w:ind w:left="720"/>
        <w:contextualSpacing/>
        <w:rPr>
          <w:rFonts w:ascii="Times New Roman" w:eastAsia="Calibri" w:hAnsi="Times New Roman" w:cs="Times New Roman"/>
          <w:b/>
          <w:sz w:val="24"/>
          <w:szCs w:val="24"/>
        </w:rPr>
      </w:pPr>
    </w:p>
    <w:p w14:paraId="1CB27619" w14:textId="264286F9" w:rsidR="007B7FED" w:rsidRPr="00166290" w:rsidRDefault="007B7FED" w:rsidP="00DE26DD">
      <w:pPr>
        <w:numPr>
          <w:ilvl w:val="0"/>
          <w:numId w:val="25"/>
        </w:numPr>
        <w:spacing w:after="0" w:line="240" w:lineRule="auto"/>
        <w:contextualSpacing/>
        <w:jc w:val="both"/>
        <w:rPr>
          <w:rFonts w:ascii="Times New Roman" w:eastAsiaTheme="minorEastAsia" w:hAnsi="Times New Roman" w:cs="Times New Roman"/>
          <w:b/>
          <w:sz w:val="24"/>
          <w:szCs w:val="24"/>
          <w:lang w:val="en-IE" w:eastAsia="zh-CN"/>
        </w:rPr>
      </w:pPr>
      <w:r w:rsidRPr="007B7FED">
        <w:rPr>
          <w:rFonts w:ascii="Times New Roman" w:eastAsiaTheme="minorEastAsia" w:hAnsi="Times New Roman" w:cs="Times New Roman"/>
          <w:b/>
          <w:sz w:val="24"/>
          <w:szCs w:val="24"/>
          <w:lang w:val="en-IE" w:eastAsia="zh-CN"/>
        </w:rPr>
        <w:t xml:space="preserve">Furthermore, within the </w:t>
      </w:r>
      <w:proofErr w:type="spellStart"/>
      <w:r w:rsidRPr="007B7FED">
        <w:rPr>
          <w:rFonts w:ascii="Times New Roman" w:eastAsiaTheme="minorEastAsia" w:hAnsi="Times New Roman" w:cs="Times New Roman"/>
          <w:b/>
          <w:i/>
          <w:sz w:val="24"/>
          <w:szCs w:val="24"/>
          <w:lang w:val="en-IE" w:eastAsia="zh-CN"/>
        </w:rPr>
        <w:t>AfT</w:t>
      </w:r>
      <w:proofErr w:type="spellEnd"/>
      <w:r w:rsidRPr="007B7FED">
        <w:rPr>
          <w:rFonts w:ascii="Times New Roman" w:eastAsiaTheme="minorEastAsia" w:hAnsi="Times New Roman" w:cs="Times New Roman"/>
          <w:b/>
          <w:i/>
          <w:sz w:val="24"/>
          <w:szCs w:val="24"/>
          <w:lang w:val="en-IE" w:eastAsia="zh-CN"/>
        </w:rPr>
        <w:t xml:space="preserve"> portfolio, the EU supports the establishment and effective operation of the NCTFs</w:t>
      </w:r>
      <w:r w:rsidRPr="007B7FED">
        <w:rPr>
          <w:rFonts w:ascii="Times New Roman" w:eastAsiaTheme="minorEastAsia" w:hAnsi="Times New Roman" w:cs="Times New Roman"/>
          <w:b/>
          <w:sz w:val="24"/>
          <w:szCs w:val="24"/>
          <w:lang w:val="en-IE" w:eastAsia="zh-CN"/>
        </w:rPr>
        <w:t>.</w:t>
      </w:r>
      <w:r w:rsidR="00166290" w:rsidRPr="00166290">
        <w:rPr>
          <w:rFonts w:ascii="Times New Roman" w:eastAsiaTheme="minorEastAsia" w:hAnsi="Times New Roman" w:cs="Times New Roman"/>
          <w:b/>
          <w:sz w:val="24"/>
          <w:szCs w:val="24"/>
          <w:lang w:val="en-IE" w:eastAsia="zh-CN"/>
        </w:rPr>
        <w:t xml:space="preserve"> </w:t>
      </w:r>
      <w:r w:rsidRPr="007B7FED">
        <w:rPr>
          <w:rFonts w:ascii="Times New Roman" w:eastAsiaTheme="minorEastAsia" w:hAnsi="Times New Roman" w:cs="Times New Roman"/>
          <w:b/>
          <w:sz w:val="24"/>
          <w:szCs w:val="24"/>
          <w:lang w:val="en-IE" w:eastAsia="zh-CN"/>
        </w:rPr>
        <w:t xml:space="preserve">For example, EU funding in </w:t>
      </w:r>
      <w:r w:rsidRPr="007B7FED">
        <w:rPr>
          <w:rFonts w:ascii="Times New Roman" w:eastAsiaTheme="minorEastAsia" w:hAnsi="Times New Roman" w:cs="Times New Roman"/>
          <w:b/>
          <w:i/>
          <w:sz w:val="24"/>
          <w:szCs w:val="24"/>
          <w:lang w:val="en-IE" w:eastAsia="zh-CN"/>
        </w:rPr>
        <w:t>Cameroo</w:t>
      </w:r>
      <w:r w:rsidRPr="007B7FED">
        <w:rPr>
          <w:rFonts w:ascii="Times New Roman" w:eastAsiaTheme="minorEastAsia" w:hAnsi="Times New Roman" w:cs="Times New Roman"/>
          <w:b/>
          <w:sz w:val="24"/>
          <w:szCs w:val="24"/>
          <w:lang w:val="en-IE" w:eastAsia="zh-CN"/>
        </w:rPr>
        <w:t xml:space="preserve">n has contributed to training officials of the Ministry of Commerce to finalise a road map of its NTFC, operational since 2016. This road map will define the measures and priorities of TFA implementation, including the allocation of measures under Category and C Notifications. </w:t>
      </w:r>
      <w:r w:rsidR="00166290" w:rsidRPr="00166290">
        <w:rPr>
          <w:rFonts w:ascii="Times New Roman" w:eastAsiaTheme="minorEastAsia" w:hAnsi="Times New Roman" w:cs="Times New Roman"/>
          <w:b/>
          <w:sz w:val="24"/>
          <w:szCs w:val="24"/>
          <w:lang w:val="en-IE" w:eastAsia="zh-CN"/>
        </w:rPr>
        <w:t xml:space="preserve"> </w:t>
      </w:r>
      <w:r w:rsidRPr="007B7FED">
        <w:rPr>
          <w:rFonts w:ascii="Times New Roman" w:eastAsiaTheme="minorEastAsia" w:hAnsi="Times New Roman" w:cs="Times New Roman"/>
          <w:b/>
          <w:sz w:val="24"/>
          <w:szCs w:val="24"/>
          <w:lang w:val="en-IE" w:eastAsia="zh-CN"/>
        </w:rPr>
        <w:t xml:space="preserve">In </w:t>
      </w:r>
      <w:r w:rsidRPr="007B7FED">
        <w:rPr>
          <w:rFonts w:ascii="Times New Roman" w:eastAsiaTheme="minorEastAsia" w:hAnsi="Times New Roman" w:cs="Times New Roman"/>
          <w:b/>
          <w:i/>
          <w:sz w:val="24"/>
          <w:szCs w:val="24"/>
          <w:lang w:val="en-IE" w:eastAsia="zh-CN"/>
        </w:rPr>
        <w:t>Haiti,</w:t>
      </w:r>
      <w:r w:rsidRPr="007B7FED">
        <w:rPr>
          <w:rFonts w:ascii="Times New Roman" w:eastAsiaTheme="minorEastAsia" w:hAnsi="Times New Roman" w:cs="Times New Roman"/>
          <w:b/>
          <w:sz w:val="24"/>
          <w:szCs w:val="24"/>
          <w:lang w:val="en-IE" w:eastAsia="zh-CN"/>
        </w:rPr>
        <w:t xml:space="preserve"> the Ministry of Trade has organised two meetings with other concerned ministries, the private sector and the EU to prepare a process to finalise the needs assessment of the Category C Commitments and subsequently establish the country’s own NTFC. </w:t>
      </w:r>
      <w:r w:rsidRPr="007B7FED">
        <w:rPr>
          <w:rFonts w:ascii="Times New Roman" w:eastAsiaTheme="minorEastAsia" w:hAnsi="Times New Roman" w:cs="Times New Roman"/>
          <w:b/>
          <w:sz w:val="24"/>
          <w:szCs w:val="24"/>
          <w:lang w:val="en-IE" w:eastAsia="zh-CN"/>
        </w:rPr>
        <w:lastRenderedPageBreak/>
        <w:t xml:space="preserve">Furthermore, </w:t>
      </w:r>
      <w:r w:rsidRPr="007B7FED">
        <w:rPr>
          <w:rFonts w:ascii="Times New Roman" w:eastAsiaTheme="minorEastAsia" w:hAnsi="Times New Roman" w:cs="Times New Roman"/>
          <w:b/>
          <w:i/>
          <w:sz w:val="24"/>
          <w:szCs w:val="24"/>
          <w:lang w:val="en-IE" w:eastAsia="zh-CN"/>
        </w:rPr>
        <w:t>in Sri Lanka</w:t>
      </w:r>
      <w:r w:rsidRPr="007B7FED">
        <w:rPr>
          <w:rFonts w:ascii="Times New Roman" w:eastAsiaTheme="minorEastAsia" w:hAnsi="Times New Roman" w:cs="Times New Roman"/>
          <w:b/>
          <w:sz w:val="24"/>
          <w:szCs w:val="24"/>
          <w:lang w:val="en-IE" w:eastAsia="zh-CN"/>
        </w:rPr>
        <w:t>, the EU Trade Development Project supports the Government’s Trade Information Portal. The Portal streamlines documentation necessary for import and export, as well as providing regulatory information to traders. Hosted by the Department of Commerce with the NTFC, the Portal helps to improve predictability and transparency of Sri Lanka’s business environment by providing the domestic and foreign business communities and investors with timely access to trade rules and regulations.</w:t>
      </w:r>
    </w:p>
    <w:p w14:paraId="420A2513" w14:textId="77777777" w:rsidR="00915F44" w:rsidRDefault="00915F44" w:rsidP="00166290">
      <w:pPr>
        <w:pStyle w:val="ListBullet"/>
        <w:numPr>
          <w:ilvl w:val="0"/>
          <w:numId w:val="0"/>
        </w:numPr>
        <w:tabs>
          <w:tab w:val="left" w:pos="720"/>
        </w:tabs>
        <w:spacing w:after="0"/>
        <w:ind w:left="283" w:hanging="283"/>
        <w:rPr>
          <w:rFonts w:eastAsiaTheme="minorEastAsia"/>
          <w:b/>
          <w:lang w:val="en-IE" w:eastAsia="zh-CN"/>
        </w:rPr>
      </w:pPr>
    </w:p>
    <w:p w14:paraId="5B72483E" w14:textId="7E0AAF1B" w:rsidR="007B7FED" w:rsidRPr="00D000E8" w:rsidRDefault="00D000E8" w:rsidP="007B7FED">
      <w:pPr>
        <w:pStyle w:val="ListBullet"/>
        <w:numPr>
          <w:ilvl w:val="0"/>
          <w:numId w:val="0"/>
        </w:numPr>
        <w:tabs>
          <w:tab w:val="left" w:pos="720"/>
        </w:tabs>
        <w:spacing w:after="0"/>
        <w:ind w:left="1003" w:hanging="283"/>
        <w:rPr>
          <w:b/>
          <w:u w:val="single"/>
          <w:lang w:val="en-GB"/>
        </w:rPr>
      </w:pPr>
      <w:r w:rsidRPr="00D000E8">
        <w:rPr>
          <w:b/>
          <w:u w:val="single"/>
          <w:lang w:val="en-GB"/>
        </w:rPr>
        <w:t xml:space="preserve">EU programmes towards the </w:t>
      </w:r>
      <w:proofErr w:type="spellStart"/>
      <w:r w:rsidRPr="00D000E8">
        <w:rPr>
          <w:b/>
          <w:u w:val="single"/>
          <w:lang w:val="en-GB"/>
        </w:rPr>
        <w:t>neigbourhood</w:t>
      </w:r>
      <w:proofErr w:type="spellEnd"/>
    </w:p>
    <w:p w14:paraId="657E907A" w14:textId="548DF541" w:rsidR="007B7FED" w:rsidRPr="00915F44" w:rsidRDefault="007B7FED" w:rsidP="00915F44">
      <w:pPr>
        <w:pStyle w:val="ListParagraph"/>
        <w:numPr>
          <w:ilvl w:val="0"/>
          <w:numId w:val="30"/>
        </w:numPr>
        <w:spacing w:after="0" w:line="240" w:lineRule="auto"/>
        <w:jc w:val="both"/>
        <w:rPr>
          <w:rFonts w:ascii="Times New Roman" w:eastAsiaTheme="minorEastAsia" w:hAnsi="Times New Roman" w:cs="Times New Roman"/>
          <w:b/>
          <w:sz w:val="24"/>
          <w:szCs w:val="24"/>
          <w:lang w:val="en-IE" w:eastAsia="zh-CN"/>
        </w:rPr>
      </w:pPr>
      <w:r w:rsidRPr="00166290">
        <w:rPr>
          <w:rFonts w:ascii="Times New Roman" w:eastAsiaTheme="minorEastAsia" w:hAnsi="Times New Roman" w:cs="Times New Roman"/>
          <w:b/>
          <w:i/>
          <w:sz w:val="24"/>
          <w:szCs w:val="24"/>
          <w:lang w:val="en-IE" w:eastAsia="zh-CN"/>
        </w:rPr>
        <w:t>Regarding EU programmes that are about to be launched</w:t>
      </w:r>
      <w:r w:rsidRPr="00915F44">
        <w:rPr>
          <w:rFonts w:ascii="Times New Roman" w:eastAsiaTheme="minorEastAsia" w:hAnsi="Times New Roman" w:cs="Times New Roman"/>
          <w:b/>
          <w:sz w:val="24"/>
          <w:szCs w:val="24"/>
          <w:lang w:val="en-IE" w:eastAsia="zh-CN"/>
        </w:rPr>
        <w:t xml:space="preserve">, I would like to mention the following: the programme SEED + on </w:t>
      </w:r>
      <w:r w:rsidRPr="00915F44">
        <w:rPr>
          <w:rFonts w:ascii="Times New Roman" w:hAnsi="Times New Roman" w:cs="Times New Roman"/>
          <w:b/>
          <w:bCs/>
          <w:sz w:val="24"/>
          <w:szCs w:val="24"/>
          <w:lang w:eastAsia="mk-MK"/>
        </w:rPr>
        <w:t xml:space="preserve">systematic exchange of electronic data : It is a </w:t>
      </w:r>
      <w:r w:rsidRPr="00915F44">
        <w:rPr>
          <w:rFonts w:ascii="Times New Roman" w:hAnsi="Times New Roman" w:cs="Times New Roman"/>
          <w:b/>
          <w:sz w:val="24"/>
          <w:szCs w:val="24"/>
          <w:lang w:val="en-IE"/>
        </w:rPr>
        <w:t xml:space="preserve">4-year project that an implementing period between October 2019 to December 2022, with an allocated amount of €5.3 million that benefits the WB6 countries and Moldova, and is implemented by CEFTA.  </w:t>
      </w:r>
      <w:r w:rsidRPr="00915F44">
        <w:rPr>
          <w:rFonts w:ascii="Times New Roman" w:hAnsi="Times New Roman" w:cs="Times New Roman"/>
          <w:b/>
          <w:sz w:val="24"/>
          <w:szCs w:val="24"/>
        </w:rPr>
        <w:t>The project aims at securing the needed maintenance to the current SEED whilst developing new elements related to enhance progressive harmonisation and transparency of procedures among involved beneficiaries, in turn, enabling electronic exchange of trade documents in WB in line with the provisions and actions agreed upon in AP5</w:t>
      </w:r>
    </w:p>
    <w:p w14:paraId="1DB7B377" w14:textId="77777777" w:rsidR="007B7FED" w:rsidRPr="007B7FED" w:rsidRDefault="007B7FED" w:rsidP="007B7FED">
      <w:pPr>
        <w:spacing w:after="0" w:line="240" w:lineRule="auto"/>
        <w:jc w:val="both"/>
        <w:rPr>
          <w:rFonts w:ascii="Times New Roman" w:eastAsiaTheme="minorEastAsia" w:hAnsi="Times New Roman" w:cs="Times New Roman"/>
          <w:b/>
          <w:sz w:val="24"/>
          <w:szCs w:val="24"/>
          <w:lang w:val="en-IE" w:eastAsia="zh-CN"/>
        </w:rPr>
      </w:pPr>
    </w:p>
    <w:p w14:paraId="3F5CD117" w14:textId="5ED40C5B" w:rsidR="00166290" w:rsidRPr="00166290" w:rsidRDefault="007B7FED" w:rsidP="00166290">
      <w:pPr>
        <w:pStyle w:val="ListParagraph"/>
        <w:widowControl w:val="0"/>
        <w:numPr>
          <w:ilvl w:val="0"/>
          <w:numId w:val="30"/>
        </w:numPr>
        <w:autoSpaceDE w:val="0"/>
        <w:autoSpaceDN w:val="0"/>
        <w:spacing w:after="0" w:line="240" w:lineRule="auto"/>
        <w:ind w:left="1366" w:hanging="357"/>
        <w:jc w:val="both"/>
        <w:rPr>
          <w:rFonts w:ascii="Times New Roman" w:hAnsi="Times New Roman" w:cs="Times New Roman"/>
          <w:i/>
          <w:sz w:val="24"/>
          <w:szCs w:val="24"/>
        </w:rPr>
      </w:pPr>
      <w:r w:rsidRPr="00166290">
        <w:rPr>
          <w:rFonts w:ascii="Times New Roman" w:eastAsiaTheme="minorEastAsia" w:hAnsi="Times New Roman" w:cs="Times New Roman"/>
          <w:b/>
          <w:i/>
          <w:sz w:val="24"/>
          <w:szCs w:val="24"/>
          <w:lang w:val="en-IE" w:eastAsia="zh-CN"/>
        </w:rPr>
        <w:t>Regarding EU Tunisia cooperation</w:t>
      </w:r>
      <w:r w:rsidRPr="00166290">
        <w:rPr>
          <w:rFonts w:ascii="Times New Roman" w:eastAsiaTheme="minorEastAsia" w:hAnsi="Times New Roman" w:cs="Times New Roman"/>
          <w:b/>
          <w:sz w:val="24"/>
          <w:szCs w:val="24"/>
          <w:lang w:val="en-IE" w:eastAsia="zh-CN"/>
        </w:rPr>
        <w:t xml:space="preserve">, the EU would like to stress the following: </w:t>
      </w:r>
      <w:r w:rsidRPr="00166290">
        <w:rPr>
          <w:rFonts w:ascii="Times New Roman" w:hAnsi="Times New Roman" w:cs="Times New Roman"/>
          <w:b/>
          <w:sz w:val="24"/>
          <w:szCs w:val="24"/>
        </w:rPr>
        <w:t xml:space="preserve">The EU is implementing a EUR 90M budget support programme in support of competitiveness and exports which covers the following aspects: digitalisation of a number of trade procedures ("titre du commerce </w:t>
      </w:r>
      <w:proofErr w:type="spellStart"/>
      <w:r w:rsidRPr="00166290">
        <w:rPr>
          <w:rFonts w:ascii="Times New Roman" w:hAnsi="Times New Roman" w:cs="Times New Roman"/>
          <w:b/>
          <w:sz w:val="24"/>
          <w:szCs w:val="24"/>
        </w:rPr>
        <w:t>extérieur</w:t>
      </w:r>
      <w:proofErr w:type="spellEnd"/>
      <w:r w:rsidRPr="00166290">
        <w:rPr>
          <w:rFonts w:ascii="Times New Roman" w:hAnsi="Times New Roman" w:cs="Times New Roman"/>
          <w:b/>
          <w:sz w:val="24"/>
          <w:szCs w:val="24"/>
        </w:rPr>
        <w:t xml:space="preserve">", "visa </w:t>
      </w:r>
      <w:proofErr w:type="spellStart"/>
      <w:r w:rsidRPr="00166290">
        <w:rPr>
          <w:rFonts w:ascii="Times New Roman" w:hAnsi="Times New Roman" w:cs="Times New Roman"/>
          <w:b/>
          <w:sz w:val="24"/>
          <w:szCs w:val="24"/>
        </w:rPr>
        <w:t>d'embarquement</w:t>
      </w:r>
      <w:proofErr w:type="spellEnd"/>
      <w:r w:rsidRPr="00166290">
        <w:rPr>
          <w:rFonts w:ascii="Times New Roman" w:hAnsi="Times New Roman" w:cs="Times New Roman"/>
          <w:b/>
          <w:sz w:val="24"/>
          <w:szCs w:val="24"/>
        </w:rPr>
        <w:t>" and "</w:t>
      </w:r>
      <w:proofErr w:type="spellStart"/>
      <w:r w:rsidRPr="00166290">
        <w:rPr>
          <w:rFonts w:ascii="Times New Roman" w:hAnsi="Times New Roman" w:cs="Times New Roman"/>
          <w:b/>
          <w:sz w:val="24"/>
          <w:szCs w:val="24"/>
        </w:rPr>
        <w:t>avis</w:t>
      </w:r>
      <w:proofErr w:type="spellEnd"/>
      <w:r w:rsidRPr="00166290">
        <w:rPr>
          <w:rFonts w:ascii="Times New Roman" w:hAnsi="Times New Roman" w:cs="Times New Roman"/>
          <w:b/>
          <w:sz w:val="24"/>
          <w:szCs w:val="24"/>
        </w:rPr>
        <w:t xml:space="preserve"> </w:t>
      </w:r>
      <w:proofErr w:type="spellStart"/>
      <w:r w:rsidRPr="00166290">
        <w:rPr>
          <w:rFonts w:ascii="Times New Roman" w:hAnsi="Times New Roman" w:cs="Times New Roman"/>
          <w:b/>
          <w:sz w:val="24"/>
          <w:szCs w:val="24"/>
        </w:rPr>
        <w:t>d'arrivée</w:t>
      </w:r>
      <w:proofErr w:type="spellEnd"/>
      <w:r w:rsidRPr="00166290">
        <w:rPr>
          <w:rFonts w:ascii="Times New Roman" w:hAnsi="Times New Roman" w:cs="Times New Roman"/>
          <w:b/>
          <w:sz w:val="24"/>
          <w:szCs w:val="24"/>
        </w:rPr>
        <w:t xml:space="preserve"> des </w:t>
      </w:r>
      <w:proofErr w:type="spellStart"/>
      <w:r w:rsidRPr="00166290">
        <w:rPr>
          <w:rFonts w:ascii="Times New Roman" w:hAnsi="Times New Roman" w:cs="Times New Roman"/>
          <w:b/>
          <w:sz w:val="24"/>
          <w:szCs w:val="24"/>
        </w:rPr>
        <w:t>marchandises</w:t>
      </w:r>
      <w:proofErr w:type="spellEnd"/>
      <w:r w:rsidRPr="00166290">
        <w:rPr>
          <w:rFonts w:ascii="Times New Roman" w:hAnsi="Times New Roman" w:cs="Times New Roman"/>
          <w:b/>
          <w:sz w:val="24"/>
          <w:szCs w:val="24"/>
        </w:rPr>
        <w:t xml:space="preserve">"); publication of a trade procedures guide (to ensure transparency of procedures and facilitate cross-border operations (relates to article 10.1. in the notification table); improve the performance of the Sectoral Technical </w:t>
      </w:r>
      <w:proofErr w:type="spellStart"/>
      <w:r w:rsidRPr="00166290">
        <w:rPr>
          <w:rFonts w:ascii="Times New Roman" w:hAnsi="Times New Roman" w:cs="Times New Roman"/>
          <w:b/>
          <w:sz w:val="24"/>
          <w:szCs w:val="24"/>
        </w:rPr>
        <w:t>Centers</w:t>
      </w:r>
      <w:proofErr w:type="spellEnd"/>
      <w:r w:rsidRPr="00166290">
        <w:rPr>
          <w:rFonts w:ascii="Times New Roman" w:hAnsi="Times New Roman" w:cs="Times New Roman"/>
          <w:b/>
          <w:sz w:val="24"/>
          <w:szCs w:val="24"/>
        </w:rPr>
        <w:t xml:space="preserve"> (responsible for testing imported and exported products - relates to article 5.3. in the notification table); reduction of the number of imported and exported products subjected to technical controls (relates to article 7.5. in the notification table); increased productivity of </w:t>
      </w:r>
      <w:proofErr w:type="spellStart"/>
      <w:r w:rsidRPr="00166290">
        <w:rPr>
          <w:rFonts w:ascii="Times New Roman" w:hAnsi="Times New Roman" w:cs="Times New Roman"/>
          <w:b/>
          <w:sz w:val="24"/>
          <w:szCs w:val="24"/>
        </w:rPr>
        <w:t>Radès</w:t>
      </w:r>
      <w:proofErr w:type="spellEnd"/>
      <w:r w:rsidRPr="00166290">
        <w:rPr>
          <w:rFonts w:ascii="Times New Roman" w:hAnsi="Times New Roman" w:cs="Times New Roman"/>
          <w:b/>
          <w:sz w:val="24"/>
          <w:szCs w:val="24"/>
        </w:rPr>
        <w:t xml:space="preserve"> Harbour operations, which channels 80% of trade by sea; and increase in the number of “</w:t>
      </w:r>
      <w:proofErr w:type="spellStart"/>
      <w:r w:rsidRPr="00166290">
        <w:rPr>
          <w:rFonts w:ascii="Times New Roman" w:hAnsi="Times New Roman" w:cs="Times New Roman"/>
          <w:b/>
          <w:sz w:val="24"/>
          <w:szCs w:val="24"/>
        </w:rPr>
        <w:t>opérateurs</w:t>
      </w:r>
      <w:proofErr w:type="spellEnd"/>
      <w:r w:rsidRPr="00166290">
        <w:rPr>
          <w:rFonts w:ascii="Times New Roman" w:hAnsi="Times New Roman" w:cs="Times New Roman"/>
          <w:b/>
          <w:sz w:val="24"/>
          <w:szCs w:val="24"/>
        </w:rPr>
        <w:t xml:space="preserve"> </w:t>
      </w:r>
      <w:proofErr w:type="spellStart"/>
      <w:r w:rsidRPr="00166290">
        <w:rPr>
          <w:rFonts w:ascii="Times New Roman" w:hAnsi="Times New Roman" w:cs="Times New Roman"/>
          <w:b/>
          <w:sz w:val="24"/>
          <w:szCs w:val="24"/>
        </w:rPr>
        <w:t>économiques</w:t>
      </w:r>
      <w:proofErr w:type="spellEnd"/>
      <w:r w:rsidRPr="00166290">
        <w:rPr>
          <w:rFonts w:ascii="Times New Roman" w:hAnsi="Times New Roman" w:cs="Times New Roman"/>
          <w:b/>
          <w:sz w:val="24"/>
          <w:szCs w:val="24"/>
        </w:rPr>
        <w:t xml:space="preserve"> agrees” (relates to article 7.7. in the notification table). Finally, upon request by the Tunisian Authorities, the EU has organised a number of targeted events and activities in Tunisia using the Technical Assistance and Information Exchange instrument (TAIEX). TAIEX programmes are largely needs-driven and deliver appropriate tailor-made expertise to address issues at short notice through workshops, expert missions, and/or study visits. The EU has such programmes in the area of customs with Western Balkans and other countries and would consider additional support that could target trade facilitation activities if the Tunisian Authorities express a clear, and structured need for such activities to support the </w:t>
      </w:r>
      <w:r w:rsidR="00166290">
        <w:rPr>
          <w:rFonts w:ascii="Times New Roman" w:hAnsi="Times New Roman" w:cs="Times New Roman"/>
          <w:b/>
          <w:sz w:val="24"/>
          <w:szCs w:val="24"/>
        </w:rPr>
        <w:t>implementation of Tunisia TFA commitments.</w:t>
      </w:r>
    </w:p>
    <w:sectPr w:rsidR="00166290" w:rsidRPr="001662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84B3" w14:textId="77777777" w:rsidR="00861276" w:rsidRDefault="00861276" w:rsidP="00B24A31">
      <w:pPr>
        <w:spacing w:after="0" w:line="240" w:lineRule="auto"/>
      </w:pPr>
      <w:r>
        <w:separator/>
      </w:r>
    </w:p>
  </w:endnote>
  <w:endnote w:type="continuationSeparator" w:id="0">
    <w:p w14:paraId="23CBD3CF" w14:textId="77777777" w:rsidR="00861276" w:rsidRDefault="00861276" w:rsidP="00B2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110884"/>
      <w:docPartObj>
        <w:docPartGallery w:val="Page Numbers (Bottom of Page)"/>
        <w:docPartUnique/>
      </w:docPartObj>
    </w:sdtPr>
    <w:sdtEndPr>
      <w:rPr>
        <w:noProof/>
      </w:rPr>
    </w:sdtEndPr>
    <w:sdtContent>
      <w:p w14:paraId="660AFA5A" w14:textId="02CC16C3" w:rsidR="005257B6" w:rsidRDefault="005257B6">
        <w:pPr>
          <w:pStyle w:val="Footer"/>
        </w:pPr>
        <w:r>
          <w:fldChar w:fldCharType="begin"/>
        </w:r>
        <w:r>
          <w:instrText xml:space="preserve"> PAGE   \* MERGEFORMAT </w:instrText>
        </w:r>
        <w:r>
          <w:fldChar w:fldCharType="separate"/>
        </w:r>
        <w:r w:rsidR="003210FE">
          <w:rPr>
            <w:noProof/>
          </w:rPr>
          <w:t>1</w:t>
        </w:r>
        <w:r>
          <w:rPr>
            <w:noProof/>
          </w:rPr>
          <w:fldChar w:fldCharType="end"/>
        </w:r>
      </w:p>
    </w:sdtContent>
  </w:sdt>
  <w:p w14:paraId="414ABF19" w14:textId="77777777" w:rsidR="004823DF" w:rsidRDefault="0048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0137" w14:textId="77777777" w:rsidR="00861276" w:rsidRDefault="00861276" w:rsidP="00B24A31">
      <w:pPr>
        <w:spacing w:after="0" w:line="240" w:lineRule="auto"/>
      </w:pPr>
      <w:r>
        <w:separator/>
      </w:r>
    </w:p>
  </w:footnote>
  <w:footnote w:type="continuationSeparator" w:id="0">
    <w:p w14:paraId="51A95003" w14:textId="77777777" w:rsidR="00861276" w:rsidRDefault="00861276" w:rsidP="00B24A31">
      <w:pPr>
        <w:spacing w:after="0" w:line="240" w:lineRule="auto"/>
      </w:pPr>
      <w:r>
        <w:continuationSeparator/>
      </w:r>
    </w:p>
  </w:footnote>
  <w:footnote w:id="1">
    <w:p w14:paraId="6A043112" w14:textId="77777777" w:rsidR="007B7FED" w:rsidRPr="00CA374E" w:rsidRDefault="007B7FED" w:rsidP="007B7FED">
      <w:pPr>
        <w:pStyle w:val="FootnoteText"/>
        <w:rPr>
          <w:rFonts w:ascii="Times New Roman" w:hAnsi="Times New Roman" w:cs="Times New Roman"/>
        </w:rPr>
      </w:pPr>
      <w:r>
        <w:rPr>
          <w:rStyle w:val="FootnoteReference"/>
        </w:rPr>
        <w:footnoteRef/>
      </w:r>
      <w:r>
        <w:t xml:space="preserve"> </w:t>
      </w:r>
      <w:r w:rsidRPr="00CA374E">
        <w:rPr>
          <w:rFonts w:ascii="Times New Roman" w:hAnsi="Times New Roman" w:cs="Times New Roman"/>
        </w:rPr>
        <w:t>Category C notifications contain provisions that a developing country or LDC designates for implementation on a date after a transition period and requiring the acquisition of implementation capacity through the provision and assistance of capacity building (source: WTO).</w:t>
      </w:r>
    </w:p>
  </w:footnote>
  <w:footnote w:id="2">
    <w:p w14:paraId="3DDB6D76" w14:textId="77777777" w:rsidR="007B7FED" w:rsidRPr="00CA374E" w:rsidRDefault="007B7FED" w:rsidP="007B7FED">
      <w:pPr>
        <w:pStyle w:val="FootnoteText"/>
        <w:rPr>
          <w:rFonts w:ascii="Times New Roman" w:hAnsi="Times New Roman" w:cs="Times New Roman"/>
        </w:rPr>
      </w:pPr>
      <w:r w:rsidRPr="00CA374E">
        <w:rPr>
          <w:rStyle w:val="FootnoteReference"/>
          <w:rFonts w:ascii="Times New Roman" w:hAnsi="Times New Roman" w:cs="Times New Roman"/>
        </w:rPr>
        <w:footnoteRef/>
      </w:r>
      <w:r w:rsidRPr="00CA374E">
        <w:rPr>
          <w:rFonts w:ascii="Times New Roman" w:hAnsi="Times New Roman" w:cs="Times New Roman"/>
        </w:rPr>
        <w:t xml:space="preserve"> Ref: </w:t>
      </w:r>
      <w:proofErr w:type="gramStart"/>
      <w:r w:rsidRPr="00CA374E">
        <w:rPr>
          <w:rFonts w:ascii="Times New Roman" w:hAnsi="Times New Roman" w:cs="Times New Roman"/>
        </w:rPr>
        <w:t>COM(</w:t>
      </w:r>
      <w:proofErr w:type="gramEnd"/>
      <w:r w:rsidRPr="00CA374E">
        <w:rPr>
          <w:rFonts w:ascii="Times New Roman" w:hAnsi="Times New Roman" w:cs="Times New Roman"/>
        </w:rPr>
        <w:t xml:space="preserve">2017)667, Communication from the Commission to the European Parliament, the Council, The European Economic and Social Committee and the Committee of the Regions, ‘Achieving Prosperity through Trade and Investment: Updating the 2007 Joint EU Strategy on Aid for Trade.’ </w:t>
      </w:r>
    </w:p>
  </w:footnote>
  <w:footnote w:id="3">
    <w:p w14:paraId="26030D41" w14:textId="77777777" w:rsidR="007B7FED" w:rsidRPr="00CA374E" w:rsidRDefault="007B7FED" w:rsidP="007B7FED">
      <w:pPr>
        <w:pStyle w:val="FootnoteText"/>
        <w:rPr>
          <w:lang w:val="en-IE"/>
        </w:rPr>
      </w:pPr>
      <w:r>
        <w:rPr>
          <w:rStyle w:val="FootnoteReference"/>
        </w:rPr>
        <w:footnoteRef/>
      </w:r>
      <w:r>
        <w:t xml:space="preserve"> </w:t>
      </w:r>
      <w:r>
        <w:rPr>
          <w:lang w:val="en-IE"/>
        </w:rPr>
        <w:t>Under the DAC purpose code 33120.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5086"/>
    <w:multiLevelType w:val="hybridMultilevel"/>
    <w:tmpl w:val="4E78D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6E21"/>
    <w:multiLevelType w:val="hybridMultilevel"/>
    <w:tmpl w:val="EB6E836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F6C85"/>
    <w:multiLevelType w:val="hybridMultilevel"/>
    <w:tmpl w:val="86A4D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80A"/>
    <w:multiLevelType w:val="hybridMultilevel"/>
    <w:tmpl w:val="AB742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90B65"/>
    <w:multiLevelType w:val="hybridMultilevel"/>
    <w:tmpl w:val="C114CFE8"/>
    <w:lvl w:ilvl="0" w:tplc="FD684468">
      <w:start w:val="5"/>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0E92366C"/>
    <w:multiLevelType w:val="hybridMultilevel"/>
    <w:tmpl w:val="F8A8DB32"/>
    <w:lvl w:ilvl="0" w:tplc="906CF1B8">
      <w:start w:val="4"/>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1312534B"/>
    <w:multiLevelType w:val="hybridMultilevel"/>
    <w:tmpl w:val="38707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461F20"/>
    <w:multiLevelType w:val="hybridMultilevel"/>
    <w:tmpl w:val="3D32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6568AC"/>
    <w:multiLevelType w:val="hybridMultilevel"/>
    <w:tmpl w:val="3C143C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E2E56"/>
    <w:multiLevelType w:val="hybridMultilevel"/>
    <w:tmpl w:val="E152C52C"/>
    <w:lvl w:ilvl="0" w:tplc="E5FC98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D774C"/>
    <w:multiLevelType w:val="hybridMultilevel"/>
    <w:tmpl w:val="DA0447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FF080A"/>
    <w:multiLevelType w:val="hybridMultilevel"/>
    <w:tmpl w:val="9CBEB95A"/>
    <w:lvl w:ilvl="0" w:tplc="080C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811EA"/>
    <w:multiLevelType w:val="hybridMultilevel"/>
    <w:tmpl w:val="2D20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76202"/>
    <w:multiLevelType w:val="hybridMultilevel"/>
    <w:tmpl w:val="8D128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A6F83"/>
    <w:multiLevelType w:val="hybridMultilevel"/>
    <w:tmpl w:val="25884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00D8"/>
    <w:multiLevelType w:val="multilevel"/>
    <w:tmpl w:val="7C8C987C"/>
    <w:lvl w:ilvl="0">
      <w:start w:val="1"/>
      <w:numFmt w:val="upperRoman"/>
      <w:pStyle w:val="BodyText"/>
      <w:lvlText w:val="%1."/>
      <w:lvlJc w:val="left"/>
      <w:pPr>
        <w:tabs>
          <w:tab w:val="num" w:pos="720"/>
        </w:tabs>
        <w:ind w:left="0" w:firstLine="0"/>
      </w:pPr>
    </w:lvl>
    <w:lvl w:ilvl="1">
      <w:start w:val="1"/>
      <w:numFmt w:val="upperLetter"/>
      <w:pStyle w:val="Heading2"/>
      <w:lvlText w:val="%2."/>
      <w:lvlJc w:val="left"/>
      <w:pPr>
        <w:tabs>
          <w:tab w:val="num" w:pos="360"/>
        </w:tabs>
        <w:ind w:left="0" w:firstLine="0"/>
      </w:pPr>
    </w:lvl>
    <w:lvl w:ilvl="2">
      <w:start w:val="1"/>
      <w:numFmt w:val="bullet"/>
      <w:lvlText w:val=""/>
      <w:lvlJc w:val="left"/>
      <w:pPr>
        <w:tabs>
          <w:tab w:val="num" w:pos="360"/>
        </w:tabs>
        <w:ind w:left="0" w:firstLine="0"/>
      </w:pPr>
      <w:rPr>
        <w:rFonts w:ascii="Wingdings" w:hAnsi="Wingdings" w:hint="default"/>
      </w:rPr>
    </w:lvl>
    <w:lvl w:ilvl="3">
      <w:start w:val="1"/>
      <w:numFmt w:val="lowerLetter"/>
      <w:pStyle w:val="Heading4"/>
      <w:lvlText w:val="(%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decimal"/>
      <w:lvlRestart w:val="0"/>
      <w:pStyle w:val="BodyText"/>
      <w:lvlText w:val="%6."/>
      <w:lvlJc w:val="left"/>
      <w:pPr>
        <w:tabs>
          <w:tab w:val="num" w:pos="360"/>
        </w:tabs>
        <w:ind w:left="0" w:firstLine="0"/>
      </w:pPr>
    </w:lvl>
    <w:lvl w:ilvl="6">
      <w:start w:val="1"/>
      <w:numFmt w:val="lowerLetter"/>
      <w:pStyle w:val="BodyText2"/>
      <w:lvlText w:val="%7."/>
      <w:lvlJc w:val="left"/>
      <w:pPr>
        <w:tabs>
          <w:tab w:val="num" w:pos="1440"/>
        </w:tabs>
        <w:ind w:left="1440" w:hanging="720"/>
      </w:pPr>
    </w:lvl>
    <w:lvl w:ilvl="7">
      <w:start w:val="1"/>
      <w:numFmt w:val="lowerRoman"/>
      <w:pStyle w:val="BodyText3"/>
      <w:lvlText w:val="(%8)"/>
      <w:lvlJc w:val="left"/>
      <w:pPr>
        <w:tabs>
          <w:tab w:val="num" w:pos="2520"/>
        </w:tabs>
        <w:ind w:left="2160" w:hanging="720"/>
      </w:pPr>
    </w:lvl>
    <w:lvl w:ilvl="8">
      <w:start w:val="1"/>
      <w:numFmt w:val="bullet"/>
      <w:pStyle w:val="BodyText4"/>
      <w:lvlText w:val=""/>
      <w:lvlJc w:val="left"/>
      <w:pPr>
        <w:tabs>
          <w:tab w:val="num" w:pos="2160"/>
        </w:tabs>
        <w:ind w:left="2160" w:hanging="720"/>
      </w:pPr>
      <w:rPr>
        <w:rFonts w:ascii="Symbol" w:hAnsi="Symbol" w:hint="default"/>
      </w:rPr>
    </w:lvl>
  </w:abstractNum>
  <w:abstractNum w:abstractNumId="16" w15:restartNumberingAfterBreak="0">
    <w:nsid w:val="3A28510D"/>
    <w:multiLevelType w:val="hybridMultilevel"/>
    <w:tmpl w:val="18F6FFB2"/>
    <w:lvl w:ilvl="0" w:tplc="828A748C">
      <w:numFmt w:val="bullet"/>
      <w:lvlText w:val="-"/>
      <w:lvlJc w:val="left"/>
      <w:pPr>
        <w:ind w:left="1008" w:hanging="360"/>
      </w:pPr>
      <w:rPr>
        <w:rFonts w:ascii="Times New Roman" w:eastAsia="Times New Roman" w:hAnsi="Times New Roman" w:cs="Times New Roman" w:hint="default"/>
      </w:rPr>
    </w:lvl>
    <w:lvl w:ilvl="1" w:tplc="080C0003">
      <w:start w:val="1"/>
      <w:numFmt w:val="bullet"/>
      <w:lvlText w:val="o"/>
      <w:lvlJc w:val="left"/>
      <w:pPr>
        <w:ind w:left="1728" w:hanging="360"/>
      </w:pPr>
      <w:rPr>
        <w:rFonts w:ascii="Courier New" w:hAnsi="Courier New" w:cs="Courier New" w:hint="default"/>
      </w:rPr>
    </w:lvl>
    <w:lvl w:ilvl="2" w:tplc="080C0005">
      <w:start w:val="1"/>
      <w:numFmt w:val="bullet"/>
      <w:lvlText w:val=""/>
      <w:lvlJc w:val="left"/>
      <w:pPr>
        <w:ind w:left="2448" w:hanging="360"/>
      </w:pPr>
      <w:rPr>
        <w:rFonts w:ascii="Wingdings" w:hAnsi="Wingdings" w:hint="default"/>
      </w:rPr>
    </w:lvl>
    <w:lvl w:ilvl="3" w:tplc="080C0001">
      <w:start w:val="1"/>
      <w:numFmt w:val="bullet"/>
      <w:lvlText w:val=""/>
      <w:lvlJc w:val="left"/>
      <w:pPr>
        <w:ind w:left="3168" w:hanging="360"/>
      </w:pPr>
      <w:rPr>
        <w:rFonts w:ascii="Symbol" w:hAnsi="Symbol" w:hint="default"/>
      </w:rPr>
    </w:lvl>
    <w:lvl w:ilvl="4" w:tplc="080C0003">
      <w:start w:val="1"/>
      <w:numFmt w:val="bullet"/>
      <w:lvlText w:val="o"/>
      <w:lvlJc w:val="left"/>
      <w:pPr>
        <w:ind w:left="3888" w:hanging="360"/>
      </w:pPr>
      <w:rPr>
        <w:rFonts w:ascii="Courier New" w:hAnsi="Courier New" w:cs="Courier New" w:hint="default"/>
      </w:rPr>
    </w:lvl>
    <w:lvl w:ilvl="5" w:tplc="080C0005">
      <w:start w:val="1"/>
      <w:numFmt w:val="bullet"/>
      <w:lvlText w:val=""/>
      <w:lvlJc w:val="left"/>
      <w:pPr>
        <w:ind w:left="4608" w:hanging="360"/>
      </w:pPr>
      <w:rPr>
        <w:rFonts w:ascii="Wingdings" w:hAnsi="Wingdings" w:hint="default"/>
      </w:rPr>
    </w:lvl>
    <w:lvl w:ilvl="6" w:tplc="080C0001">
      <w:start w:val="1"/>
      <w:numFmt w:val="bullet"/>
      <w:lvlText w:val=""/>
      <w:lvlJc w:val="left"/>
      <w:pPr>
        <w:ind w:left="5328" w:hanging="360"/>
      </w:pPr>
      <w:rPr>
        <w:rFonts w:ascii="Symbol" w:hAnsi="Symbol" w:hint="default"/>
      </w:rPr>
    </w:lvl>
    <w:lvl w:ilvl="7" w:tplc="080C0003">
      <w:start w:val="1"/>
      <w:numFmt w:val="bullet"/>
      <w:lvlText w:val="o"/>
      <w:lvlJc w:val="left"/>
      <w:pPr>
        <w:ind w:left="6048" w:hanging="360"/>
      </w:pPr>
      <w:rPr>
        <w:rFonts w:ascii="Courier New" w:hAnsi="Courier New" w:cs="Courier New" w:hint="default"/>
      </w:rPr>
    </w:lvl>
    <w:lvl w:ilvl="8" w:tplc="080C0005">
      <w:start w:val="1"/>
      <w:numFmt w:val="bullet"/>
      <w:lvlText w:val=""/>
      <w:lvlJc w:val="left"/>
      <w:pPr>
        <w:ind w:left="6768" w:hanging="360"/>
      </w:pPr>
      <w:rPr>
        <w:rFonts w:ascii="Wingdings" w:hAnsi="Wingdings" w:hint="default"/>
      </w:rPr>
    </w:lvl>
  </w:abstractNum>
  <w:abstractNum w:abstractNumId="17" w15:restartNumberingAfterBreak="0">
    <w:nsid w:val="3A9C321A"/>
    <w:multiLevelType w:val="hybridMultilevel"/>
    <w:tmpl w:val="F45C32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27537F8"/>
    <w:multiLevelType w:val="hybridMultilevel"/>
    <w:tmpl w:val="C888A3DC"/>
    <w:lvl w:ilvl="0" w:tplc="04090001">
      <w:start w:val="1"/>
      <w:numFmt w:val="bullet"/>
      <w:lvlText w:val=""/>
      <w:lvlJc w:val="left"/>
      <w:pPr>
        <w:ind w:left="1080" w:hanging="360"/>
      </w:pPr>
      <w:rPr>
        <w:rFonts w:ascii="Symbol" w:hAnsi="Symbol" w:hint="default"/>
      </w:rPr>
    </w:lvl>
    <w:lvl w:ilvl="1" w:tplc="CD442B38">
      <w:start w:val="1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8415E7"/>
    <w:multiLevelType w:val="multilevel"/>
    <w:tmpl w:val="6C50B326"/>
    <w:lvl w:ilvl="0">
      <w:start w:val="1"/>
      <w:numFmt w:val="decimal"/>
      <w:pStyle w:val="ListNumber"/>
      <w:lvlText w:val="(%1)"/>
      <w:lvlJc w:val="left"/>
      <w:pPr>
        <w:tabs>
          <w:tab w:val="num" w:pos="889"/>
        </w:tabs>
        <w:ind w:left="889" w:hanging="709"/>
      </w:pPr>
      <w:rPr>
        <w:rFonts w:hint="default"/>
      </w:rPr>
    </w:lvl>
    <w:lvl w:ilvl="1">
      <w:start w:val="1"/>
      <w:numFmt w:val="lowerLetter"/>
      <w:pStyle w:val="ListNumberLevel2"/>
      <w:lvlText w:val="(%2)"/>
      <w:lvlJc w:val="left"/>
      <w:pPr>
        <w:tabs>
          <w:tab w:val="num" w:pos="1597"/>
        </w:tabs>
        <w:ind w:left="1597" w:hanging="708"/>
      </w:pPr>
      <w:rPr>
        <w:rFonts w:hint="default"/>
      </w:rPr>
    </w:lvl>
    <w:lvl w:ilvl="2">
      <w:start w:val="1"/>
      <w:numFmt w:val="bullet"/>
      <w:pStyle w:val="ListNumberLevel3"/>
      <w:lvlText w:val="–"/>
      <w:lvlJc w:val="left"/>
      <w:pPr>
        <w:tabs>
          <w:tab w:val="num" w:pos="2306"/>
        </w:tabs>
        <w:ind w:left="2306" w:hanging="709"/>
      </w:pPr>
      <w:rPr>
        <w:rFonts w:ascii="Times New Roman" w:hAnsi="Times New Roman" w:hint="default"/>
      </w:rPr>
    </w:lvl>
    <w:lvl w:ilvl="3">
      <w:start w:val="1"/>
      <w:numFmt w:val="bullet"/>
      <w:pStyle w:val="ListNumberLevel4"/>
      <w:lvlText w:val=""/>
      <w:lvlJc w:val="left"/>
      <w:pPr>
        <w:tabs>
          <w:tab w:val="num" w:pos="3015"/>
        </w:tabs>
        <w:ind w:left="3015" w:hanging="709"/>
      </w:pPr>
      <w:rPr>
        <w:rFonts w:ascii="Symbol" w:hAnsi="Symbol"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1" w15:restartNumberingAfterBreak="0">
    <w:nsid w:val="440F3367"/>
    <w:multiLevelType w:val="hybridMultilevel"/>
    <w:tmpl w:val="804A093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4BCF0ADB"/>
    <w:multiLevelType w:val="hybridMultilevel"/>
    <w:tmpl w:val="CE02D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060AE"/>
    <w:multiLevelType w:val="hybridMultilevel"/>
    <w:tmpl w:val="ABE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41ED8"/>
    <w:multiLevelType w:val="hybridMultilevel"/>
    <w:tmpl w:val="78F86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E412B"/>
    <w:multiLevelType w:val="hybridMultilevel"/>
    <w:tmpl w:val="BDC49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D3BDC"/>
    <w:multiLevelType w:val="hybridMultilevel"/>
    <w:tmpl w:val="2BF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93FB2"/>
    <w:multiLevelType w:val="hybridMultilevel"/>
    <w:tmpl w:val="05F4E4E8"/>
    <w:lvl w:ilvl="0" w:tplc="FEC471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DA8"/>
    <w:multiLevelType w:val="hybridMultilevel"/>
    <w:tmpl w:val="5F608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52139"/>
    <w:multiLevelType w:val="hybridMultilevel"/>
    <w:tmpl w:val="32EA9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6593"/>
    <w:multiLevelType w:val="hybridMultilevel"/>
    <w:tmpl w:val="C1BCF2AA"/>
    <w:lvl w:ilvl="0" w:tplc="E40C5B7C">
      <w:start w:val="1"/>
      <w:numFmt w:val="decimal"/>
      <w:lvlText w:val="%1."/>
      <w:lvlJc w:val="left"/>
      <w:pPr>
        <w:ind w:left="6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F025A"/>
    <w:multiLevelType w:val="hybridMultilevel"/>
    <w:tmpl w:val="B042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3983"/>
    <w:multiLevelType w:val="hybridMultilevel"/>
    <w:tmpl w:val="E1B0AEC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33" w15:restartNumberingAfterBreak="0">
    <w:nsid w:val="65717A52"/>
    <w:multiLevelType w:val="hybridMultilevel"/>
    <w:tmpl w:val="BD8A0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43344D"/>
    <w:multiLevelType w:val="hybridMultilevel"/>
    <w:tmpl w:val="6E9851EA"/>
    <w:lvl w:ilvl="0" w:tplc="2096877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00EB7"/>
    <w:multiLevelType w:val="hybridMultilevel"/>
    <w:tmpl w:val="CAD8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
  </w:num>
  <w:num w:numId="3">
    <w:abstractNumId w:val="20"/>
  </w:num>
  <w:num w:numId="4">
    <w:abstractNumId w:val="25"/>
  </w:num>
  <w:num w:numId="5">
    <w:abstractNumId w:val="14"/>
  </w:num>
  <w:num w:numId="6">
    <w:abstractNumId w:val="22"/>
  </w:num>
  <w:num w:numId="7">
    <w:abstractNumId w:val="10"/>
  </w:num>
  <w:num w:numId="8">
    <w:abstractNumId w:val="8"/>
  </w:num>
  <w:num w:numId="9">
    <w:abstractNumId w:val="24"/>
  </w:num>
  <w:num w:numId="10">
    <w:abstractNumId w:val="9"/>
  </w:num>
  <w:num w:numId="11">
    <w:abstractNumId w:val="28"/>
  </w:num>
  <w:num w:numId="12">
    <w:abstractNumId w:val="29"/>
  </w:num>
  <w:num w:numId="13">
    <w:abstractNumId w:val="31"/>
  </w:num>
  <w:num w:numId="14">
    <w:abstractNumId w:val="26"/>
  </w:num>
  <w:num w:numId="15">
    <w:abstractNumId w:val="27"/>
  </w:num>
  <w:num w:numId="16">
    <w:abstractNumId w:val="35"/>
  </w:num>
  <w:num w:numId="17">
    <w:abstractNumId w:val="17"/>
  </w:num>
  <w:num w:numId="18">
    <w:abstractNumId w:val="13"/>
  </w:num>
  <w:num w:numId="19">
    <w:abstractNumId w:val="33"/>
  </w:num>
  <w:num w:numId="20">
    <w:abstractNumId w:val="7"/>
  </w:num>
  <w:num w:numId="21">
    <w:abstractNumId w:val="30"/>
  </w:num>
  <w:num w:numId="22">
    <w:abstractNumId w:val="19"/>
  </w:num>
  <w:num w:numId="23">
    <w:abstractNumId w:val="11"/>
  </w:num>
  <w:num w:numId="24">
    <w:abstractNumId w:val="2"/>
  </w:num>
  <w:num w:numId="25">
    <w:abstractNumId w:val="12"/>
  </w:num>
  <w:num w:numId="26">
    <w:abstractNumId w:val="18"/>
  </w:num>
  <w:num w:numId="27">
    <w:abstractNumId w:val="16"/>
  </w:num>
  <w:num w:numId="28">
    <w:abstractNumId w:val="16"/>
  </w:num>
  <w:num w:numId="29">
    <w:abstractNumId w:val="32"/>
  </w:num>
  <w:num w:numId="30">
    <w:abstractNumId w:val="1"/>
  </w:num>
  <w:num w:numId="31">
    <w:abstractNumId w:val="21"/>
  </w:num>
  <w:num w:numId="32">
    <w:abstractNumId w:val="6"/>
  </w:num>
  <w:num w:numId="33">
    <w:abstractNumId w:val="4"/>
  </w:num>
  <w:num w:numId="34">
    <w:abstractNumId w:val="5"/>
  </w:num>
  <w:num w:numId="35">
    <w:abstractNumId w:val="23"/>
  </w:num>
  <w:num w:numId="36">
    <w:abstractNumId w:val="0"/>
  </w:num>
  <w:num w:numId="3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927BD"/>
    <w:rsid w:val="000033B0"/>
    <w:rsid w:val="0000731B"/>
    <w:rsid w:val="0000755F"/>
    <w:rsid w:val="000112EF"/>
    <w:rsid w:val="00015D65"/>
    <w:rsid w:val="00016BDF"/>
    <w:rsid w:val="0001769D"/>
    <w:rsid w:val="00017C1D"/>
    <w:rsid w:val="00022FF2"/>
    <w:rsid w:val="00024121"/>
    <w:rsid w:val="00024135"/>
    <w:rsid w:val="00024DB1"/>
    <w:rsid w:val="000335FE"/>
    <w:rsid w:val="00035096"/>
    <w:rsid w:val="000364A5"/>
    <w:rsid w:val="000458BE"/>
    <w:rsid w:val="00045EFE"/>
    <w:rsid w:val="00050D61"/>
    <w:rsid w:val="00057EE1"/>
    <w:rsid w:val="000645B3"/>
    <w:rsid w:val="00071793"/>
    <w:rsid w:val="00087B61"/>
    <w:rsid w:val="00092801"/>
    <w:rsid w:val="00094299"/>
    <w:rsid w:val="000A6059"/>
    <w:rsid w:val="000B0AED"/>
    <w:rsid w:val="000B3776"/>
    <w:rsid w:val="000B5614"/>
    <w:rsid w:val="000B60B9"/>
    <w:rsid w:val="000C3A5C"/>
    <w:rsid w:val="000C40AA"/>
    <w:rsid w:val="000C4407"/>
    <w:rsid w:val="000C483D"/>
    <w:rsid w:val="000C4E26"/>
    <w:rsid w:val="000C5DDE"/>
    <w:rsid w:val="000D31CF"/>
    <w:rsid w:val="000D3332"/>
    <w:rsid w:val="000D7418"/>
    <w:rsid w:val="000D7D49"/>
    <w:rsid w:val="000E290A"/>
    <w:rsid w:val="000E2A3D"/>
    <w:rsid w:val="000E7247"/>
    <w:rsid w:val="000F19D4"/>
    <w:rsid w:val="001004C1"/>
    <w:rsid w:val="0010359D"/>
    <w:rsid w:val="0010562A"/>
    <w:rsid w:val="00105A96"/>
    <w:rsid w:val="00106EC9"/>
    <w:rsid w:val="00113BF6"/>
    <w:rsid w:val="001204D0"/>
    <w:rsid w:val="00121FB5"/>
    <w:rsid w:val="00140F07"/>
    <w:rsid w:val="00141523"/>
    <w:rsid w:val="00144EF9"/>
    <w:rsid w:val="001475C0"/>
    <w:rsid w:val="00166290"/>
    <w:rsid w:val="001704DB"/>
    <w:rsid w:val="00176E01"/>
    <w:rsid w:val="001845F8"/>
    <w:rsid w:val="00190546"/>
    <w:rsid w:val="001927BD"/>
    <w:rsid w:val="00193BB4"/>
    <w:rsid w:val="001943D3"/>
    <w:rsid w:val="001A170C"/>
    <w:rsid w:val="001A40B9"/>
    <w:rsid w:val="001A672D"/>
    <w:rsid w:val="001A77A1"/>
    <w:rsid w:val="001B2E50"/>
    <w:rsid w:val="001C03C4"/>
    <w:rsid w:val="001C0F7E"/>
    <w:rsid w:val="001C1A6B"/>
    <w:rsid w:val="001E18D6"/>
    <w:rsid w:val="001E35AD"/>
    <w:rsid w:val="001E7883"/>
    <w:rsid w:val="001F0222"/>
    <w:rsid w:val="001F4391"/>
    <w:rsid w:val="001F7A8D"/>
    <w:rsid w:val="002000E5"/>
    <w:rsid w:val="00212D62"/>
    <w:rsid w:val="002177CC"/>
    <w:rsid w:val="002241FF"/>
    <w:rsid w:val="00224EB5"/>
    <w:rsid w:val="00241D77"/>
    <w:rsid w:val="002441D7"/>
    <w:rsid w:val="002531AB"/>
    <w:rsid w:val="00257272"/>
    <w:rsid w:val="00273C60"/>
    <w:rsid w:val="00280A30"/>
    <w:rsid w:val="00281999"/>
    <w:rsid w:val="00290E5B"/>
    <w:rsid w:val="002A0ED9"/>
    <w:rsid w:val="002A77B3"/>
    <w:rsid w:val="002B2809"/>
    <w:rsid w:val="002C0359"/>
    <w:rsid w:val="002C70EE"/>
    <w:rsid w:val="002D1C2F"/>
    <w:rsid w:val="002E1ED1"/>
    <w:rsid w:val="002E6988"/>
    <w:rsid w:val="002F2E96"/>
    <w:rsid w:val="002F5BD5"/>
    <w:rsid w:val="00304D16"/>
    <w:rsid w:val="0032109F"/>
    <w:rsid w:val="003210FE"/>
    <w:rsid w:val="003269C8"/>
    <w:rsid w:val="00334E37"/>
    <w:rsid w:val="003478CE"/>
    <w:rsid w:val="003506A9"/>
    <w:rsid w:val="00351A40"/>
    <w:rsid w:val="00361136"/>
    <w:rsid w:val="00365655"/>
    <w:rsid w:val="0036729D"/>
    <w:rsid w:val="003810D5"/>
    <w:rsid w:val="0038670A"/>
    <w:rsid w:val="003976B9"/>
    <w:rsid w:val="003A0574"/>
    <w:rsid w:val="003A279A"/>
    <w:rsid w:val="003A63AE"/>
    <w:rsid w:val="003B711A"/>
    <w:rsid w:val="003C5BC0"/>
    <w:rsid w:val="003C5C7C"/>
    <w:rsid w:val="003D43C9"/>
    <w:rsid w:val="003D501D"/>
    <w:rsid w:val="003E1550"/>
    <w:rsid w:val="003E34E0"/>
    <w:rsid w:val="004007FA"/>
    <w:rsid w:val="004110F2"/>
    <w:rsid w:val="004126CD"/>
    <w:rsid w:val="004127E2"/>
    <w:rsid w:val="00413967"/>
    <w:rsid w:val="00414424"/>
    <w:rsid w:val="00422925"/>
    <w:rsid w:val="00423F2F"/>
    <w:rsid w:val="00434FE3"/>
    <w:rsid w:val="00435452"/>
    <w:rsid w:val="0043680C"/>
    <w:rsid w:val="004413F7"/>
    <w:rsid w:val="00443533"/>
    <w:rsid w:val="00444B77"/>
    <w:rsid w:val="00447341"/>
    <w:rsid w:val="00451A12"/>
    <w:rsid w:val="004540CA"/>
    <w:rsid w:val="00457545"/>
    <w:rsid w:val="00463B23"/>
    <w:rsid w:val="00465677"/>
    <w:rsid w:val="00465F1F"/>
    <w:rsid w:val="004719E0"/>
    <w:rsid w:val="00473834"/>
    <w:rsid w:val="00481449"/>
    <w:rsid w:val="004823DF"/>
    <w:rsid w:val="00483899"/>
    <w:rsid w:val="004962E7"/>
    <w:rsid w:val="00496F43"/>
    <w:rsid w:val="00497948"/>
    <w:rsid w:val="00497DE8"/>
    <w:rsid w:val="004A19D5"/>
    <w:rsid w:val="004A6981"/>
    <w:rsid w:val="004B2FFB"/>
    <w:rsid w:val="004B3C03"/>
    <w:rsid w:val="004C0146"/>
    <w:rsid w:val="004C4D20"/>
    <w:rsid w:val="004C537A"/>
    <w:rsid w:val="004C71D8"/>
    <w:rsid w:val="004D1D84"/>
    <w:rsid w:val="004D1F78"/>
    <w:rsid w:val="004D25CB"/>
    <w:rsid w:val="004D397A"/>
    <w:rsid w:val="004D411F"/>
    <w:rsid w:val="004D4126"/>
    <w:rsid w:val="004E586B"/>
    <w:rsid w:val="004F077E"/>
    <w:rsid w:val="004F556E"/>
    <w:rsid w:val="00500A09"/>
    <w:rsid w:val="00517D14"/>
    <w:rsid w:val="00521192"/>
    <w:rsid w:val="0052155E"/>
    <w:rsid w:val="005221D9"/>
    <w:rsid w:val="00524B50"/>
    <w:rsid w:val="005257B6"/>
    <w:rsid w:val="00526ACA"/>
    <w:rsid w:val="00526E22"/>
    <w:rsid w:val="00535DE6"/>
    <w:rsid w:val="005410DB"/>
    <w:rsid w:val="00541C9A"/>
    <w:rsid w:val="00543147"/>
    <w:rsid w:val="00544F47"/>
    <w:rsid w:val="005453B9"/>
    <w:rsid w:val="00561430"/>
    <w:rsid w:val="00566F79"/>
    <w:rsid w:val="005732C7"/>
    <w:rsid w:val="00574998"/>
    <w:rsid w:val="005803BF"/>
    <w:rsid w:val="005818A2"/>
    <w:rsid w:val="0059107D"/>
    <w:rsid w:val="00593FA5"/>
    <w:rsid w:val="00597945"/>
    <w:rsid w:val="005A376B"/>
    <w:rsid w:val="005A6D55"/>
    <w:rsid w:val="005A768C"/>
    <w:rsid w:val="005B7412"/>
    <w:rsid w:val="005C3831"/>
    <w:rsid w:val="005C7985"/>
    <w:rsid w:val="005D4F02"/>
    <w:rsid w:val="005D53C9"/>
    <w:rsid w:val="005D66EC"/>
    <w:rsid w:val="005E0A08"/>
    <w:rsid w:val="005F2BB6"/>
    <w:rsid w:val="005F5577"/>
    <w:rsid w:val="006000A7"/>
    <w:rsid w:val="0060093D"/>
    <w:rsid w:val="00603C9B"/>
    <w:rsid w:val="00604F02"/>
    <w:rsid w:val="0060673F"/>
    <w:rsid w:val="006068FA"/>
    <w:rsid w:val="00613C07"/>
    <w:rsid w:val="00621254"/>
    <w:rsid w:val="006234F8"/>
    <w:rsid w:val="00627AEC"/>
    <w:rsid w:val="00631F23"/>
    <w:rsid w:val="00632E09"/>
    <w:rsid w:val="006353DC"/>
    <w:rsid w:val="00641C2F"/>
    <w:rsid w:val="006527FF"/>
    <w:rsid w:val="00657887"/>
    <w:rsid w:val="00661C7E"/>
    <w:rsid w:val="00665383"/>
    <w:rsid w:val="00670CAE"/>
    <w:rsid w:val="00670FBB"/>
    <w:rsid w:val="00673884"/>
    <w:rsid w:val="0067724D"/>
    <w:rsid w:val="00680DC7"/>
    <w:rsid w:val="00681BB7"/>
    <w:rsid w:val="00682C14"/>
    <w:rsid w:val="00686733"/>
    <w:rsid w:val="00686B96"/>
    <w:rsid w:val="00692902"/>
    <w:rsid w:val="00696EAF"/>
    <w:rsid w:val="006A71D9"/>
    <w:rsid w:val="006A7641"/>
    <w:rsid w:val="006B0613"/>
    <w:rsid w:val="006B30FE"/>
    <w:rsid w:val="006B3397"/>
    <w:rsid w:val="006C2DE4"/>
    <w:rsid w:val="006D4E31"/>
    <w:rsid w:val="006F0C57"/>
    <w:rsid w:val="006F10F8"/>
    <w:rsid w:val="006F2248"/>
    <w:rsid w:val="006F42A8"/>
    <w:rsid w:val="007006AF"/>
    <w:rsid w:val="00701770"/>
    <w:rsid w:val="007018DB"/>
    <w:rsid w:val="00702411"/>
    <w:rsid w:val="007043EB"/>
    <w:rsid w:val="00704B92"/>
    <w:rsid w:val="007108F4"/>
    <w:rsid w:val="00711E40"/>
    <w:rsid w:val="00714D9C"/>
    <w:rsid w:val="0072257B"/>
    <w:rsid w:val="00722D49"/>
    <w:rsid w:val="007263F7"/>
    <w:rsid w:val="00735184"/>
    <w:rsid w:val="00737F54"/>
    <w:rsid w:val="00744D10"/>
    <w:rsid w:val="00747598"/>
    <w:rsid w:val="00747A72"/>
    <w:rsid w:val="007565AB"/>
    <w:rsid w:val="00757A96"/>
    <w:rsid w:val="00761777"/>
    <w:rsid w:val="00764619"/>
    <w:rsid w:val="007759D8"/>
    <w:rsid w:val="007910EB"/>
    <w:rsid w:val="007933D4"/>
    <w:rsid w:val="00794DFD"/>
    <w:rsid w:val="007A34FE"/>
    <w:rsid w:val="007A3961"/>
    <w:rsid w:val="007A6FBF"/>
    <w:rsid w:val="007B0335"/>
    <w:rsid w:val="007B3622"/>
    <w:rsid w:val="007B7FED"/>
    <w:rsid w:val="007C1F23"/>
    <w:rsid w:val="007D0C15"/>
    <w:rsid w:val="007E27AE"/>
    <w:rsid w:val="007E3B0C"/>
    <w:rsid w:val="007E4CA9"/>
    <w:rsid w:val="007E7D94"/>
    <w:rsid w:val="007F0CEF"/>
    <w:rsid w:val="007F3293"/>
    <w:rsid w:val="00806967"/>
    <w:rsid w:val="00810430"/>
    <w:rsid w:val="0081155C"/>
    <w:rsid w:val="00815540"/>
    <w:rsid w:val="00827216"/>
    <w:rsid w:val="00833823"/>
    <w:rsid w:val="00833BB1"/>
    <w:rsid w:val="00841999"/>
    <w:rsid w:val="00851A04"/>
    <w:rsid w:val="00853F67"/>
    <w:rsid w:val="00856CED"/>
    <w:rsid w:val="00861276"/>
    <w:rsid w:val="0086616A"/>
    <w:rsid w:val="008714E0"/>
    <w:rsid w:val="00882B8A"/>
    <w:rsid w:val="0088675D"/>
    <w:rsid w:val="00887EE6"/>
    <w:rsid w:val="00890F73"/>
    <w:rsid w:val="00892D70"/>
    <w:rsid w:val="00892E36"/>
    <w:rsid w:val="008A2F7E"/>
    <w:rsid w:val="008A70F6"/>
    <w:rsid w:val="008A7144"/>
    <w:rsid w:val="008B1BFF"/>
    <w:rsid w:val="008B71EA"/>
    <w:rsid w:val="008C39BB"/>
    <w:rsid w:val="008C5015"/>
    <w:rsid w:val="008C502E"/>
    <w:rsid w:val="008D0036"/>
    <w:rsid w:val="008D266D"/>
    <w:rsid w:val="008D43E6"/>
    <w:rsid w:val="008D6B7E"/>
    <w:rsid w:val="008E14B5"/>
    <w:rsid w:val="008F0968"/>
    <w:rsid w:val="008F2372"/>
    <w:rsid w:val="008F6931"/>
    <w:rsid w:val="009059B7"/>
    <w:rsid w:val="00910B4A"/>
    <w:rsid w:val="009111A2"/>
    <w:rsid w:val="009133E0"/>
    <w:rsid w:val="009156A6"/>
    <w:rsid w:val="00915F44"/>
    <w:rsid w:val="00924EED"/>
    <w:rsid w:val="009267CF"/>
    <w:rsid w:val="009310B4"/>
    <w:rsid w:val="009355A9"/>
    <w:rsid w:val="00940278"/>
    <w:rsid w:val="009448A5"/>
    <w:rsid w:val="00960656"/>
    <w:rsid w:val="0096149E"/>
    <w:rsid w:val="0097486A"/>
    <w:rsid w:val="00980A14"/>
    <w:rsid w:val="00984B4C"/>
    <w:rsid w:val="00985B50"/>
    <w:rsid w:val="009A530D"/>
    <w:rsid w:val="009C1782"/>
    <w:rsid w:val="009C2936"/>
    <w:rsid w:val="009C5E4E"/>
    <w:rsid w:val="009D12CB"/>
    <w:rsid w:val="009D2E7A"/>
    <w:rsid w:val="009D3116"/>
    <w:rsid w:val="009D5095"/>
    <w:rsid w:val="009E055B"/>
    <w:rsid w:val="009E5534"/>
    <w:rsid w:val="009E6F67"/>
    <w:rsid w:val="009E77CD"/>
    <w:rsid w:val="009F0AC7"/>
    <w:rsid w:val="009F4800"/>
    <w:rsid w:val="009F7C14"/>
    <w:rsid w:val="00A20A9F"/>
    <w:rsid w:val="00A34F5B"/>
    <w:rsid w:val="00A37965"/>
    <w:rsid w:val="00A422F6"/>
    <w:rsid w:val="00A46001"/>
    <w:rsid w:val="00A538D6"/>
    <w:rsid w:val="00A57376"/>
    <w:rsid w:val="00A65A13"/>
    <w:rsid w:val="00A6757D"/>
    <w:rsid w:val="00A730A5"/>
    <w:rsid w:val="00A75468"/>
    <w:rsid w:val="00A83906"/>
    <w:rsid w:val="00A85545"/>
    <w:rsid w:val="00A93490"/>
    <w:rsid w:val="00AA0AE9"/>
    <w:rsid w:val="00AA403F"/>
    <w:rsid w:val="00AC1BD9"/>
    <w:rsid w:val="00AD019C"/>
    <w:rsid w:val="00AD34DD"/>
    <w:rsid w:val="00AE68C1"/>
    <w:rsid w:val="00AF389F"/>
    <w:rsid w:val="00B03DEB"/>
    <w:rsid w:val="00B070D3"/>
    <w:rsid w:val="00B12254"/>
    <w:rsid w:val="00B21267"/>
    <w:rsid w:val="00B24A31"/>
    <w:rsid w:val="00B35039"/>
    <w:rsid w:val="00B521FD"/>
    <w:rsid w:val="00B5355A"/>
    <w:rsid w:val="00B702AB"/>
    <w:rsid w:val="00B73B95"/>
    <w:rsid w:val="00B774D7"/>
    <w:rsid w:val="00B77F00"/>
    <w:rsid w:val="00B81F7D"/>
    <w:rsid w:val="00B83D8C"/>
    <w:rsid w:val="00B86FB5"/>
    <w:rsid w:val="00B915B8"/>
    <w:rsid w:val="00B9401B"/>
    <w:rsid w:val="00B971AF"/>
    <w:rsid w:val="00B97647"/>
    <w:rsid w:val="00BA49E0"/>
    <w:rsid w:val="00BB4ADC"/>
    <w:rsid w:val="00BC0AFB"/>
    <w:rsid w:val="00BD1BB2"/>
    <w:rsid w:val="00BD4017"/>
    <w:rsid w:val="00BD69FD"/>
    <w:rsid w:val="00BE2A7B"/>
    <w:rsid w:val="00BE7276"/>
    <w:rsid w:val="00BF0FC5"/>
    <w:rsid w:val="00C00EEC"/>
    <w:rsid w:val="00C01C71"/>
    <w:rsid w:val="00C06AC6"/>
    <w:rsid w:val="00C125E1"/>
    <w:rsid w:val="00C3314F"/>
    <w:rsid w:val="00C36471"/>
    <w:rsid w:val="00C42AF5"/>
    <w:rsid w:val="00C528B2"/>
    <w:rsid w:val="00C561A7"/>
    <w:rsid w:val="00C56C72"/>
    <w:rsid w:val="00C606F4"/>
    <w:rsid w:val="00C62A49"/>
    <w:rsid w:val="00C66FCC"/>
    <w:rsid w:val="00C71574"/>
    <w:rsid w:val="00C7277C"/>
    <w:rsid w:val="00C77170"/>
    <w:rsid w:val="00C8236D"/>
    <w:rsid w:val="00C90189"/>
    <w:rsid w:val="00C95E1C"/>
    <w:rsid w:val="00CA0DA3"/>
    <w:rsid w:val="00CA3573"/>
    <w:rsid w:val="00CB63F7"/>
    <w:rsid w:val="00CC2F3B"/>
    <w:rsid w:val="00CC6799"/>
    <w:rsid w:val="00CD0D35"/>
    <w:rsid w:val="00CD429F"/>
    <w:rsid w:val="00CD4A41"/>
    <w:rsid w:val="00CD6EB8"/>
    <w:rsid w:val="00CD7479"/>
    <w:rsid w:val="00CE14FC"/>
    <w:rsid w:val="00CE53BA"/>
    <w:rsid w:val="00CF28A9"/>
    <w:rsid w:val="00CF3C0C"/>
    <w:rsid w:val="00D000E8"/>
    <w:rsid w:val="00D01A2D"/>
    <w:rsid w:val="00D01DA8"/>
    <w:rsid w:val="00D0255A"/>
    <w:rsid w:val="00D0594C"/>
    <w:rsid w:val="00D07E4D"/>
    <w:rsid w:val="00D1634A"/>
    <w:rsid w:val="00D16B42"/>
    <w:rsid w:val="00D215A9"/>
    <w:rsid w:val="00D228E0"/>
    <w:rsid w:val="00D232EE"/>
    <w:rsid w:val="00D2487C"/>
    <w:rsid w:val="00D26529"/>
    <w:rsid w:val="00D30D2C"/>
    <w:rsid w:val="00D448B5"/>
    <w:rsid w:val="00D47E26"/>
    <w:rsid w:val="00D53F8F"/>
    <w:rsid w:val="00D56B4C"/>
    <w:rsid w:val="00D57110"/>
    <w:rsid w:val="00D640E2"/>
    <w:rsid w:val="00D64BC8"/>
    <w:rsid w:val="00D672B2"/>
    <w:rsid w:val="00D677B9"/>
    <w:rsid w:val="00D779EE"/>
    <w:rsid w:val="00D77F84"/>
    <w:rsid w:val="00D932C5"/>
    <w:rsid w:val="00DA1476"/>
    <w:rsid w:val="00DA255B"/>
    <w:rsid w:val="00DA29BF"/>
    <w:rsid w:val="00DA74D7"/>
    <w:rsid w:val="00DB4603"/>
    <w:rsid w:val="00DC0452"/>
    <w:rsid w:val="00DC583E"/>
    <w:rsid w:val="00DC778F"/>
    <w:rsid w:val="00DD33D8"/>
    <w:rsid w:val="00DE31C7"/>
    <w:rsid w:val="00DE4EDC"/>
    <w:rsid w:val="00DE65B6"/>
    <w:rsid w:val="00DE6662"/>
    <w:rsid w:val="00DF6407"/>
    <w:rsid w:val="00E00CCA"/>
    <w:rsid w:val="00E01AFF"/>
    <w:rsid w:val="00E10206"/>
    <w:rsid w:val="00E133DA"/>
    <w:rsid w:val="00E2024E"/>
    <w:rsid w:val="00E21561"/>
    <w:rsid w:val="00E21D9C"/>
    <w:rsid w:val="00E26087"/>
    <w:rsid w:val="00E3016F"/>
    <w:rsid w:val="00E30D3E"/>
    <w:rsid w:val="00E323D2"/>
    <w:rsid w:val="00E52E7F"/>
    <w:rsid w:val="00E54505"/>
    <w:rsid w:val="00E56047"/>
    <w:rsid w:val="00E6061E"/>
    <w:rsid w:val="00E7004C"/>
    <w:rsid w:val="00E74EDD"/>
    <w:rsid w:val="00E75F17"/>
    <w:rsid w:val="00E820BA"/>
    <w:rsid w:val="00E854C7"/>
    <w:rsid w:val="00E871B1"/>
    <w:rsid w:val="00E92CC1"/>
    <w:rsid w:val="00EA032F"/>
    <w:rsid w:val="00EA0D81"/>
    <w:rsid w:val="00EA51FE"/>
    <w:rsid w:val="00EA67B7"/>
    <w:rsid w:val="00EC0495"/>
    <w:rsid w:val="00EC742A"/>
    <w:rsid w:val="00ED0DEF"/>
    <w:rsid w:val="00ED3137"/>
    <w:rsid w:val="00ED4571"/>
    <w:rsid w:val="00ED5F2D"/>
    <w:rsid w:val="00ED5F8A"/>
    <w:rsid w:val="00ED6794"/>
    <w:rsid w:val="00EE2040"/>
    <w:rsid w:val="00EE2B47"/>
    <w:rsid w:val="00EE7FE9"/>
    <w:rsid w:val="00F0489F"/>
    <w:rsid w:val="00F06679"/>
    <w:rsid w:val="00F06CBA"/>
    <w:rsid w:val="00F11C0B"/>
    <w:rsid w:val="00F17938"/>
    <w:rsid w:val="00F22FDF"/>
    <w:rsid w:val="00F35ADF"/>
    <w:rsid w:val="00F41610"/>
    <w:rsid w:val="00F42456"/>
    <w:rsid w:val="00F5651F"/>
    <w:rsid w:val="00F6132B"/>
    <w:rsid w:val="00F613C1"/>
    <w:rsid w:val="00F72D1D"/>
    <w:rsid w:val="00F770BA"/>
    <w:rsid w:val="00F80051"/>
    <w:rsid w:val="00F816B5"/>
    <w:rsid w:val="00F86AD5"/>
    <w:rsid w:val="00F97DA3"/>
    <w:rsid w:val="00FA1AB0"/>
    <w:rsid w:val="00FB203C"/>
    <w:rsid w:val="00FB2618"/>
    <w:rsid w:val="00FB36B8"/>
    <w:rsid w:val="00FB799A"/>
    <w:rsid w:val="00FC152A"/>
    <w:rsid w:val="00FC6B58"/>
    <w:rsid w:val="00FC6C4F"/>
    <w:rsid w:val="00FD3A1E"/>
    <w:rsid w:val="00FD4DCB"/>
    <w:rsid w:val="00FD5E73"/>
    <w:rsid w:val="00FE1B57"/>
    <w:rsid w:val="00FE4642"/>
    <w:rsid w:val="00FE5E98"/>
    <w:rsid w:val="00FE5E9A"/>
    <w:rsid w:val="00FF4417"/>
    <w:rsid w:val="00FF5D7F"/>
    <w:rsid w:val="00FF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F8E8"/>
  <w15:docId w15:val="{5E5AB48C-9904-46E7-A50E-286AF155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5F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semiHidden/>
    <w:unhideWhenUsed/>
    <w:qFormat/>
    <w:rsid w:val="007F3293"/>
    <w:pPr>
      <w:keepNext/>
      <w:numPr>
        <w:ilvl w:val="1"/>
        <w:numId w:val="1"/>
      </w:numPr>
      <w:spacing w:after="240" w:line="240" w:lineRule="auto"/>
      <w:jc w:val="both"/>
      <w:outlineLvl w:val="1"/>
    </w:pPr>
    <w:rPr>
      <w:rFonts w:ascii="Courier New" w:eastAsia="Times New Roman" w:hAnsi="Courier New" w:cs="Times New Roman"/>
      <w:caps/>
      <w:smallCaps/>
      <w:szCs w:val="20"/>
      <w:lang w:eastAsia="en-GB"/>
    </w:rPr>
  </w:style>
  <w:style w:type="paragraph" w:styleId="Heading3">
    <w:name w:val="heading 3"/>
    <w:basedOn w:val="Normal"/>
    <w:next w:val="Normal"/>
    <w:link w:val="Heading3Char"/>
    <w:uiPriority w:val="9"/>
    <w:semiHidden/>
    <w:unhideWhenUsed/>
    <w:qFormat/>
    <w:rsid w:val="007F32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Heading5"/>
    <w:link w:val="Heading4Char"/>
    <w:semiHidden/>
    <w:unhideWhenUsed/>
    <w:qFormat/>
    <w:rsid w:val="007F3293"/>
    <w:pPr>
      <w:keepNext/>
      <w:numPr>
        <w:ilvl w:val="3"/>
        <w:numId w:val="1"/>
      </w:numPr>
      <w:spacing w:after="240" w:line="240" w:lineRule="auto"/>
      <w:jc w:val="both"/>
      <w:outlineLvl w:val="3"/>
    </w:pPr>
    <w:rPr>
      <w:rFonts w:ascii="Courier New" w:eastAsia="Times New Roman" w:hAnsi="Courier New" w:cs="Times New Roman"/>
      <w:caps/>
      <w:szCs w:val="20"/>
      <w:lang w:eastAsia="en-GB"/>
    </w:rPr>
  </w:style>
  <w:style w:type="paragraph" w:styleId="Heading5">
    <w:name w:val="heading 5"/>
    <w:basedOn w:val="Normal"/>
    <w:next w:val="BodyText"/>
    <w:link w:val="Heading5Char"/>
    <w:semiHidden/>
    <w:unhideWhenUsed/>
    <w:qFormat/>
    <w:rsid w:val="007F3293"/>
    <w:pPr>
      <w:numPr>
        <w:ilvl w:val="4"/>
        <w:numId w:val="1"/>
      </w:numPr>
      <w:spacing w:after="240" w:line="240" w:lineRule="auto"/>
      <w:jc w:val="both"/>
      <w:outlineLvl w:val="4"/>
    </w:pPr>
    <w:rPr>
      <w:rFonts w:ascii="Courier New" w:eastAsia="Times New Roman" w:hAnsi="Courier New" w:cs="Times New Roman"/>
      <w:i/>
      <w:cap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BF6"/>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110F2"/>
    <w:rPr>
      <w:sz w:val="16"/>
      <w:szCs w:val="16"/>
    </w:rPr>
  </w:style>
  <w:style w:type="paragraph" w:styleId="CommentText">
    <w:name w:val="annotation text"/>
    <w:basedOn w:val="Normal"/>
    <w:link w:val="CommentTextChar"/>
    <w:uiPriority w:val="99"/>
    <w:semiHidden/>
    <w:unhideWhenUsed/>
    <w:rsid w:val="004110F2"/>
    <w:pPr>
      <w:spacing w:line="240" w:lineRule="auto"/>
    </w:pPr>
    <w:rPr>
      <w:sz w:val="20"/>
      <w:szCs w:val="20"/>
    </w:rPr>
  </w:style>
  <w:style w:type="character" w:customStyle="1" w:styleId="CommentTextChar">
    <w:name w:val="Comment Text Char"/>
    <w:basedOn w:val="DefaultParagraphFont"/>
    <w:link w:val="CommentText"/>
    <w:uiPriority w:val="99"/>
    <w:semiHidden/>
    <w:rsid w:val="004110F2"/>
    <w:rPr>
      <w:sz w:val="20"/>
      <w:szCs w:val="20"/>
    </w:rPr>
  </w:style>
  <w:style w:type="paragraph" w:styleId="CommentSubject">
    <w:name w:val="annotation subject"/>
    <w:basedOn w:val="CommentText"/>
    <w:next w:val="CommentText"/>
    <w:link w:val="CommentSubjectChar"/>
    <w:uiPriority w:val="99"/>
    <w:semiHidden/>
    <w:unhideWhenUsed/>
    <w:rsid w:val="004110F2"/>
    <w:rPr>
      <w:b/>
      <w:bCs/>
    </w:rPr>
  </w:style>
  <w:style w:type="character" w:customStyle="1" w:styleId="CommentSubjectChar">
    <w:name w:val="Comment Subject Char"/>
    <w:basedOn w:val="CommentTextChar"/>
    <w:link w:val="CommentSubject"/>
    <w:uiPriority w:val="99"/>
    <w:semiHidden/>
    <w:rsid w:val="004110F2"/>
    <w:rPr>
      <w:b/>
      <w:bCs/>
      <w:sz w:val="20"/>
      <w:szCs w:val="20"/>
    </w:rPr>
  </w:style>
  <w:style w:type="paragraph" w:styleId="BalloonText">
    <w:name w:val="Balloon Text"/>
    <w:basedOn w:val="Normal"/>
    <w:link w:val="BalloonTextChar"/>
    <w:uiPriority w:val="99"/>
    <w:semiHidden/>
    <w:unhideWhenUsed/>
    <w:rsid w:val="0041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F2"/>
    <w:rPr>
      <w:rFonts w:ascii="Tahoma" w:hAnsi="Tahoma" w:cs="Tahoma"/>
      <w:sz w:val="16"/>
      <w:szCs w:val="16"/>
    </w:rPr>
  </w:style>
  <w:style w:type="paragraph" w:styleId="ListParagraph">
    <w:name w:val="List Paragraph"/>
    <w:basedOn w:val="Normal"/>
    <w:uiPriority w:val="34"/>
    <w:qFormat/>
    <w:rsid w:val="00E00CCA"/>
    <w:pPr>
      <w:ind w:left="720"/>
      <w:contextualSpacing/>
    </w:pPr>
  </w:style>
  <w:style w:type="paragraph" w:styleId="FootnoteText">
    <w:name w:val="footnote text"/>
    <w:basedOn w:val="Normal"/>
    <w:link w:val="FootnoteTextChar"/>
    <w:uiPriority w:val="99"/>
    <w:unhideWhenUsed/>
    <w:rsid w:val="00B24A31"/>
    <w:pPr>
      <w:spacing w:after="0" w:line="240" w:lineRule="auto"/>
    </w:pPr>
    <w:rPr>
      <w:sz w:val="20"/>
      <w:szCs w:val="20"/>
    </w:rPr>
  </w:style>
  <w:style w:type="character" w:customStyle="1" w:styleId="FootnoteTextChar">
    <w:name w:val="Footnote Text Char"/>
    <w:basedOn w:val="DefaultParagraphFont"/>
    <w:link w:val="FootnoteText"/>
    <w:uiPriority w:val="99"/>
    <w:rsid w:val="00B24A31"/>
    <w:rPr>
      <w:sz w:val="20"/>
      <w:szCs w:val="20"/>
    </w:rPr>
  </w:style>
  <w:style w:type="character" w:styleId="FootnoteReference">
    <w:name w:val="footnote reference"/>
    <w:basedOn w:val="DefaultParagraphFont"/>
    <w:uiPriority w:val="99"/>
    <w:semiHidden/>
    <w:unhideWhenUsed/>
    <w:rsid w:val="00B24A31"/>
    <w:rPr>
      <w:vertAlign w:val="superscript"/>
    </w:rPr>
  </w:style>
  <w:style w:type="character" w:customStyle="1" w:styleId="Heading2Char">
    <w:name w:val="Heading 2 Char"/>
    <w:basedOn w:val="DefaultParagraphFont"/>
    <w:link w:val="Heading2"/>
    <w:semiHidden/>
    <w:rsid w:val="007F3293"/>
    <w:rPr>
      <w:rFonts w:ascii="Courier New" w:eastAsia="Times New Roman" w:hAnsi="Courier New" w:cs="Times New Roman"/>
      <w:caps/>
      <w:smallCaps/>
      <w:szCs w:val="20"/>
      <w:lang w:eastAsia="en-GB"/>
    </w:rPr>
  </w:style>
  <w:style w:type="character" w:customStyle="1" w:styleId="Heading4Char">
    <w:name w:val="Heading 4 Char"/>
    <w:basedOn w:val="DefaultParagraphFont"/>
    <w:link w:val="Heading4"/>
    <w:semiHidden/>
    <w:rsid w:val="007F3293"/>
    <w:rPr>
      <w:rFonts w:ascii="Courier New" w:eastAsia="Times New Roman" w:hAnsi="Courier New" w:cs="Times New Roman"/>
      <w:caps/>
      <w:szCs w:val="20"/>
      <w:lang w:eastAsia="en-GB"/>
    </w:rPr>
  </w:style>
  <w:style w:type="character" w:customStyle="1" w:styleId="Heading5Char">
    <w:name w:val="Heading 5 Char"/>
    <w:basedOn w:val="DefaultParagraphFont"/>
    <w:link w:val="Heading5"/>
    <w:semiHidden/>
    <w:rsid w:val="007F3293"/>
    <w:rPr>
      <w:rFonts w:ascii="Courier New" w:eastAsia="Times New Roman" w:hAnsi="Courier New" w:cs="Times New Roman"/>
      <w:i/>
      <w:caps/>
      <w:szCs w:val="20"/>
      <w:lang w:eastAsia="en-GB"/>
    </w:rPr>
  </w:style>
  <w:style w:type="paragraph" w:styleId="BodyText">
    <w:name w:val="Body Text"/>
    <w:basedOn w:val="Normal"/>
    <w:link w:val="BodyTextChar"/>
    <w:unhideWhenUsed/>
    <w:rsid w:val="007F3293"/>
    <w:pPr>
      <w:numPr>
        <w:ilvl w:val="5"/>
        <w:numId w:val="1"/>
      </w:numPr>
      <w:spacing w:after="240" w:line="240" w:lineRule="auto"/>
      <w:jc w:val="both"/>
    </w:pPr>
    <w:rPr>
      <w:rFonts w:ascii="Courier New" w:eastAsia="Times New Roman" w:hAnsi="Courier New" w:cs="Times New Roman"/>
      <w:caps/>
      <w:szCs w:val="20"/>
      <w:lang w:eastAsia="en-GB"/>
    </w:rPr>
  </w:style>
  <w:style w:type="character" w:customStyle="1" w:styleId="BodyTextChar">
    <w:name w:val="Body Text Char"/>
    <w:basedOn w:val="DefaultParagraphFont"/>
    <w:link w:val="BodyText"/>
    <w:rsid w:val="007F3293"/>
    <w:rPr>
      <w:rFonts w:ascii="Courier New" w:eastAsia="Times New Roman" w:hAnsi="Courier New" w:cs="Times New Roman"/>
      <w:caps/>
      <w:szCs w:val="20"/>
      <w:lang w:eastAsia="en-GB"/>
    </w:rPr>
  </w:style>
  <w:style w:type="paragraph" w:styleId="BodyText2">
    <w:name w:val="Body Text 2"/>
    <w:basedOn w:val="Normal"/>
    <w:link w:val="BodyText2Char"/>
    <w:semiHidden/>
    <w:unhideWhenUsed/>
    <w:rsid w:val="007F3293"/>
    <w:pPr>
      <w:numPr>
        <w:ilvl w:val="6"/>
        <w:numId w:val="1"/>
      </w:numPr>
      <w:spacing w:after="240" w:line="240" w:lineRule="auto"/>
      <w:jc w:val="both"/>
    </w:pPr>
    <w:rPr>
      <w:rFonts w:ascii="Courier New" w:eastAsia="Times New Roman" w:hAnsi="Courier New" w:cs="Times New Roman"/>
      <w:caps/>
      <w:szCs w:val="20"/>
      <w:lang w:eastAsia="en-GB"/>
    </w:rPr>
  </w:style>
  <w:style w:type="character" w:customStyle="1" w:styleId="BodyText2Char">
    <w:name w:val="Body Text 2 Char"/>
    <w:basedOn w:val="DefaultParagraphFont"/>
    <w:link w:val="BodyText2"/>
    <w:semiHidden/>
    <w:rsid w:val="007F3293"/>
    <w:rPr>
      <w:rFonts w:ascii="Courier New" w:eastAsia="Times New Roman" w:hAnsi="Courier New" w:cs="Times New Roman"/>
      <w:caps/>
      <w:szCs w:val="20"/>
      <w:lang w:eastAsia="en-GB"/>
    </w:rPr>
  </w:style>
  <w:style w:type="paragraph" w:styleId="BodyText3">
    <w:name w:val="Body Text 3"/>
    <w:basedOn w:val="Normal"/>
    <w:link w:val="BodyText3Char"/>
    <w:semiHidden/>
    <w:unhideWhenUsed/>
    <w:rsid w:val="007F3293"/>
    <w:pPr>
      <w:numPr>
        <w:ilvl w:val="7"/>
        <w:numId w:val="1"/>
      </w:numPr>
      <w:spacing w:after="240" w:line="240" w:lineRule="auto"/>
      <w:jc w:val="both"/>
    </w:pPr>
    <w:rPr>
      <w:rFonts w:ascii="Courier New" w:eastAsia="Times New Roman" w:hAnsi="Courier New" w:cs="Times New Roman"/>
      <w:caps/>
      <w:szCs w:val="20"/>
      <w:lang w:eastAsia="en-GB"/>
    </w:rPr>
  </w:style>
  <w:style w:type="character" w:customStyle="1" w:styleId="BodyText3Char">
    <w:name w:val="Body Text 3 Char"/>
    <w:basedOn w:val="DefaultParagraphFont"/>
    <w:link w:val="BodyText3"/>
    <w:semiHidden/>
    <w:rsid w:val="007F3293"/>
    <w:rPr>
      <w:rFonts w:ascii="Courier New" w:eastAsia="Times New Roman" w:hAnsi="Courier New" w:cs="Times New Roman"/>
      <w:caps/>
      <w:szCs w:val="20"/>
      <w:lang w:eastAsia="en-GB"/>
    </w:rPr>
  </w:style>
  <w:style w:type="paragraph" w:customStyle="1" w:styleId="BodyText4">
    <w:name w:val="Body Text 4"/>
    <w:basedOn w:val="Normal"/>
    <w:rsid w:val="007F3293"/>
    <w:pPr>
      <w:numPr>
        <w:ilvl w:val="8"/>
        <w:numId w:val="1"/>
      </w:numPr>
      <w:tabs>
        <w:tab w:val="left" w:pos="2104"/>
      </w:tabs>
      <w:spacing w:after="240" w:line="240" w:lineRule="auto"/>
      <w:jc w:val="both"/>
    </w:pPr>
    <w:rPr>
      <w:rFonts w:ascii="Courier New" w:eastAsia="Times New Roman" w:hAnsi="Courier New" w:cs="Times New Roman"/>
      <w:caps/>
      <w:szCs w:val="20"/>
      <w:lang w:eastAsia="en-GB"/>
    </w:rPr>
  </w:style>
  <w:style w:type="character" w:customStyle="1" w:styleId="Heading3Char">
    <w:name w:val="Heading 3 Char"/>
    <w:basedOn w:val="DefaultParagraphFont"/>
    <w:link w:val="Heading3"/>
    <w:uiPriority w:val="9"/>
    <w:semiHidden/>
    <w:rsid w:val="007F329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144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4424"/>
  </w:style>
  <w:style w:type="paragraph" w:styleId="Footer">
    <w:name w:val="footer"/>
    <w:basedOn w:val="Normal"/>
    <w:link w:val="FooterChar"/>
    <w:uiPriority w:val="99"/>
    <w:unhideWhenUsed/>
    <w:rsid w:val="004144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4424"/>
  </w:style>
  <w:style w:type="paragraph" w:customStyle="1" w:styleId="default0">
    <w:name w:val="default"/>
    <w:basedOn w:val="Normal"/>
    <w:rsid w:val="002F2E96"/>
    <w:pPr>
      <w:autoSpaceDE w:val="0"/>
      <w:autoSpaceDN w:val="0"/>
      <w:spacing w:after="0" w:line="240" w:lineRule="auto"/>
    </w:pPr>
    <w:rPr>
      <w:rFonts w:ascii="Verdana" w:hAnsi="Verdana" w:cs="Times New Roman"/>
      <w:color w:val="000000"/>
      <w:sz w:val="24"/>
      <w:szCs w:val="24"/>
      <w:lang w:eastAsia="en-GB"/>
    </w:rPr>
  </w:style>
  <w:style w:type="character" w:styleId="Hyperlink">
    <w:name w:val="Hyperlink"/>
    <w:basedOn w:val="DefaultParagraphFont"/>
    <w:uiPriority w:val="99"/>
    <w:semiHidden/>
    <w:unhideWhenUsed/>
    <w:rsid w:val="002F2E96"/>
    <w:rPr>
      <w:color w:val="0000FF"/>
      <w:u w:val="single"/>
    </w:rPr>
  </w:style>
  <w:style w:type="character" w:customStyle="1" w:styleId="Heading1Char">
    <w:name w:val="Heading 1 Char"/>
    <w:basedOn w:val="DefaultParagraphFont"/>
    <w:link w:val="Heading1"/>
    <w:uiPriority w:val="9"/>
    <w:rsid w:val="000335FE"/>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rsid w:val="0086616A"/>
    <w:pPr>
      <w:numPr>
        <w:numId w:val="3"/>
      </w:numPr>
      <w:spacing w:after="240" w:line="240" w:lineRule="auto"/>
      <w:jc w:val="both"/>
    </w:pPr>
    <w:rPr>
      <w:rFonts w:ascii="Times New Roman" w:eastAsia="Times New Roman" w:hAnsi="Times New Roman" w:cs="Times New Roman"/>
      <w:sz w:val="24"/>
      <w:szCs w:val="20"/>
      <w:lang w:val="fr-FR" w:eastAsia="ko-KR"/>
    </w:rPr>
  </w:style>
  <w:style w:type="paragraph" w:customStyle="1" w:styleId="ListNumberLevel2">
    <w:name w:val="List Number (Level 2)"/>
    <w:basedOn w:val="Normal"/>
    <w:rsid w:val="0086616A"/>
    <w:pPr>
      <w:numPr>
        <w:ilvl w:val="1"/>
        <w:numId w:val="3"/>
      </w:numPr>
      <w:spacing w:after="240" w:line="240" w:lineRule="auto"/>
      <w:jc w:val="both"/>
    </w:pPr>
    <w:rPr>
      <w:rFonts w:ascii="Times New Roman" w:eastAsia="Times New Roman" w:hAnsi="Times New Roman" w:cs="Times New Roman"/>
      <w:sz w:val="24"/>
      <w:szCs w:val="20"/>
      <w:lang w:val="fr-FR" w:eastAsia="ko-KR"/>
    </w:rPr>
  </w:style>
  <w:style w:type="paragraph" w:customStyle="1" w:styleId="ListNumberLevel3">
    <w:name w:val="List Number (Level 3)"/>
    <w:basedOn w:val="Normal"/>
    <w:rsid w:val="0086616A"/>
    <w:pPr>
      <w:numPr>
        <w:ilvl w:val="2"/>
        <w:numId w:val="3"/>
      </w:numPr>
      <w:spacing w:after="240" w:line="240" w:lineRule="auto"/>
      <w:jc w:val="both"/>
    </w:pPr>
    <w:rPr>
      <w:rFonts w:ascii="Times New Roman" w:eastAsia="Times New Roman" w:hAnsi="Times New Roman" w:cs="Times New Roman"/>
      <w:sz w:val="24"/>
      <w:szCs w:val="20"/>
      <w:lang w:val="fr-FR" w:eastAsia="ko-KR"/>
    </w:rPr>
  </w:style>
  <w:style w:type="paragraph" w:customStyle="1" w:styleId="ListNumberLevel4">
    <w:name w:val="List Number (Level 4)"/>
    <w:basedOn w:val="Normal"/>
    <w:rsid w:val="0086616A"/>
    <w:pPr>
      <w:numPr>
        <w:ilvl w:val="3"/>
        <w:numId w:val="3"/>
      </w:numPr>
      <w:spacing w:after="240" w:line="240" w:lineRule="auto"/>
      <w:jc w:val="both"/>
    </w:pPr>
    <w:rPr>
      <w:rFonts w:ascii="Times New Roman" w:eastAsia="Times New Roman" w:hAnsi="Times New Roman" w:cs="Times New Roman"/>
      <w:sz w:val="24"/>
      <w:szCs w:val="20"/>
      <w:lang w:val="fr-FR" w:eastAsia="ko-KR"/>
    </w:rPr>
  </w:style>
  <w:style w:type="paragraph" w:styleId="ListBullet">
    <w:name w:val="List Bullet"/>
    <w:basedOn w:val="Normal"/>
    <w:uiPriority w:val="99"/>
    <w:semiHidden/>
    <w:unhideWhenUsed/>
    <w:rsid w:val="007B7FED"/>
    <w:pPr>
      <w:numPr>
        <w:numId w:val="26"/>
      </w:numPr>
      <w:spacing w:after="240" w:line="240" w:lineRule="auto"/>
      <w:jc w:val="both"/>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54">
      <w:bodyDiv w:val="1"/>
      <w:marLeft w:val="0"/>
      <w:marRight w:val="0"/>
      <w:marTop w:val="0"/>
      <w:marBottom w:val="0"/>
      <w:divBdr>
        <w:top w:val="none" w:sz="0" w:space="0" w:color="auto"/>
        <w:left w:val="none" w:sz="0" w:space="0" w:color="auto"/>
        <w:bottom w:val="none" w:sz="0" w:space="0" w:color="auto"/>
        <w:right w:val="none" w:sz="0" w:space="0" w:color="auto"/>
      </w:divBdr>
    </w:div>
    <w:div w:id="66999448">
      <w:bodyDiv w:val="1"/>
      <w:marLeft w:val="0"/>
      <w:marRight w:val="0"/>
      <w:marTop w:val="0"/>
      <w:marBottom w:val="0"/>
      <w:divBdr>
        <w:top w:val="none" w:sz="0" w:space="0" w:color="auto"/>
        <w:left w:val="none" w:sz="0" w:space="0" w:color="auto"/>
        <w:bottom w:val="none" w:sz="0" w:space="0" w:color="auto"/>
        <w:right w:val="none" w:sz="0" w:space="0" w:color="auto"/>
      </w:divBdr>
    </w:div>
    <w:div w:id="153448819">
      <w:bodyDiv w:val="1"/>
      <w:marLeft w:val="0"/>
      <w:marRight w:val="0"/>
      <w:marTop w:val="0"/>
      <w:marBottom w:val="0"/>
      <w:divBdr>
        <w:top w:val="none" w:sz="0" w:space="0" w:color="auto"/>
        <w:left w:val="none" w:sz="0" w:space="0" w:color="auto"/>
        <w:bottom w:val="none" w:sz="0" w:space="0" w:color="auto"/>
        <w:right w:val="none" w:sz="0" w:space="0" w:color="auto"/>
      </w:divBdr>
    </w:div>
    <w:div w:id="211383264">
      <w:bodyDiv w:val="1"/>
      <w:marLeft w:val="0"/>
      <w:marRight w:val="0"/>
      <w:marTop w:val="0"/>
      <w:marBottom w:val="0"/>
      <w:divBdr>
        <w:top w:val="none" w:sz="0" w:space="0" w:color="auto"/>
        <w:left w:val="none" w:sz="0" w:space="0" w:color="auto"/>
        <w:bottom w:val="none" w:sz="0" w:space="0" w:color="auto"/>
        <w:right w:val="none" w:sz="0" w:space="0" w:color="auto"/>
      </w:divBdr>
    </w:div>
    <w:div w:id="218131458">
      <w:bodyDiv w:val="1"/>
      <w:marLeft w:val="0"/>
      <w:marRight w:val="0"/>
      <w:marTop w:val="0"/>
      <w:marBottom w:val="0"/>
      <w:divBdr>
        <w:top w:val="none" w:sz="0" w:space="0" w:color="auto"/>
        <w:left w:val="none" w:sz="0" w:space="0" w:color="auto"/>
        <w:bottom w:val="none" w:sz="0" w:space="0" w:color="auto"/>
        <w:right w:val="none" w:sz="0" w:space="0" w:color="auto"/>
      </w:divBdr>
    </w:div>
    <w:div w:id="226456219">
      <w:bodyDiv w:val="1"/>
      <w:marLeft w:val="0"/>
      <w:marRight w:val="0"/>
      <w:marTop w:val="0"/>
      <w:marBottom w:val="0"/>
      <w:divBdr>
        <w:top w:val="none" w:sz="0" w:space="0" w:color="auto"/>
        <w:left w:val="none" w:sz="0" w:space="0" w:color="auto"/>
        <w:bottom w:val="none" w:sz="0" w:space="0" w:color="auto"/>
        <w:right w:val="none" w:sz="0" w:space="0" w:color="auto"/>
      </w:divBdr>
    </w:div>
    <w:div w:id="319315864">
      <w:bodyDiv w:val="1"/>
      <w:marLeft w:val="0"/>
      <w:marRight w:val="0"/>
      <w:marTop w:val="0"/>
      <w:marBottom w:val="0"/>
      <w:divBdr>
        <w:top w:val="none" w:sz="0" w:space="0" w:color="auto"/>
        <w:left w:val="none" w:sz="0" w:space="0" w:color="auto"/>
        <w:bottom w:val="none" w:sz="0" w:space="0" w:color="auto"/>
        <w:right w:val="none" w:sz="0" w:space="0" w:color="auto"/>
      </w:divBdr>
    </w:div>
    <w:div w:id="385645538">
      <w:bodyDiv w:val="1"/>
      <w:marLeft w:val="0"/>
      <w:marRight w:val="0"/>
      <w:marTop w:val="0"/>
      <w:marBottom w:val="0"/>
      <w:divBdr>
        <w:top w:val="none" w:sz="0" w:space="0" w:color="auto"/>
        <w:left w:val="none" w:sz="0" w:space="0" w:color="auto"/>
        <w:bottom w:val="none" w:sz="0" w:space="0" w:color="auto"/>
        <w:right w:val="none" w:sz="0" w:space="0" w:color="auto"/>
      </w:divBdr>
    </w:div>
    <w:div w:id="465322048">
      <w:bodyDiv w:val="1"/>
      <w:marLeft w:val="0"/>
      <w:marRight w:val="0"/>
      <w:marTop w:val="0"/>
      <w:marBottom w:val="0"/>
      <w:divBdr>
        <w:top w:val="none" w:sz="0" w:space="0" w:color="auto"/>
        <w:left w:val="none" w:sz="0" w:space="0" w:color="auto"/>
        <w:bottom w:val="none" w:sz="0" w:space="0" w:color="auto"/>
        <w:right w:val="none" w:sz="0" w:space="0" w:color="auto"/>
      </w:divBdr>
    </w:div>
    <w:div w:id="550965766">
      <w:bodyDiv w:val="1"/>
      <w:marLeft w:val="0"/>
      <w:marRight w:val="0"/>
      <w:marTop w:val="0"/>
      <w:marBottom w:val="0"/>
      <w:divBdr>
        <w:top w:val="none" w:sz="0" w:space="0" w:color="auto"/>
        <w:left w:val="none" w:sz="0" w:space="0" w:color="auto"/>
        <w:bottom w:val="none" w:sz="0" w:space="0" w:color="auto"/>
        <w:right w:val="none" w:sz="0" w:space="0" w:color="auto"/>
      </w:divBdr>
    </w:div>
    <w:div w:id="630943991">
      <w:bodyDiv w:val="1"/>
      <w:marLeft w:val="0"/>
      <w:marRight w:val="0"/>
      <w:marTop w:val="0"/>
      <w:marBottom w:val="0"/>
      <w:divBdr>
        <w:top w:val="none" w:sz="0" w:space="0" w:color="auto"/>
        <w:left w:val="none" w:sz="0" w:space="0" w:color="auto"/>
        <w:bottom w:val="none" w:sz="0" w:space="0" w:color="auto"/>
        <w:right w:val="none" w:sz="0" w:space="0" w:color="auto"/>
      </w:divBdr>
    </w:div>
    <w:div w:id="639456275">
      <w:bodyDiv w:val="1"/>
      <w:marLeft w:val="0"/>
      <w:marRight w:val="0"/>
      <w:marTop w:val="0"/>
      <w:marBottom w:val="0"/>
      <w:divBdr>
        <w:top w:val="none" w:sz="0" w:space="0" w:color="auto"/>
        <w:left w:val="none" w:sz="0" w:space="0" w:color="auto"/>
        <w:bottom w:val="none" w:sz="0" w:space="0" w:color="auto"/>
        <w:right w:val="none" w:sz="0" w:space="0" w:color="auto"/>
      </w:divBdr>
    </w:div>
    <w:div w:id="693267120">
      <w:bodyDiv w:val="1"/>
      <w:marLeft w:val="0"/>
      <w:marRight w:val="0"/>
      <w:marTop w:val="0"/>
      <w:marBottom w:val="0"/>
      <w:divBdr>
        <w:top w:val="none" w:sz="0" w:space="0" w:color="auto"/>
        <w:left w:val="none" w:sz="0" w:space="0" w:color="auto"/>
        <w:bottom w:val="none" w:sz="0" w:space="0" w:color="auto"/>
        <w:right w:val="none" w:sz="0" w:space="0" w:color="auto"/>
      </w:divBdr>
    </w:div>
    <w:div w:id="699014206">
      <w:bodyDiv w:val="1"/>
      <w:marLeft w:val="0"/>
      <w:marRight w:val="0"/>
      <w:marTop w:val="0"/>
      <w:marBottom w:val="0"/>
      <w:divBdr>
        <w:top w:val="none" w:sz="0" w:space="0" w:color="auto"/>
        <w:left w:val="none" w:sz="0" w:space="0" w:color="auto"/>
        <w:bottom w:val="none" w:sz="0" w:space="0" w:color="auto"/>
        <w:right w:val="none" w:sz="0" w:space="0" w:color="auto"/>
      </w:divBdr>
    </w:div>
    <w:div w:id="699744402">
      <w:bodyDiv w:val="1"/>
      <w:marLeft w:val="0"/>
      <w:marRight w:val="0"/>
      <w:marTop w:val="0"/>
      <w:marBottom w:val="0"/>
      <w:divBdr>
        <w:top w:val="none" w:sz="0" w:space="0" w:color="auto"/>
        <w:left w:val="none" w:sz="0" w:space="0" w:color="auto"/>
        <w:bottom w:val="none" w:sz="0" w:space="0" w:color="auto"/>
        <w:right w:val="none" w:sz="0" w:space="0" w:color="auto"/>
      </w:divBdr>
    </w:div>
    <w:div w:id="762384593">
      <w:bodyDiv w:val="1"/>
      <w:marLeft w:val="0"/>
      <w:marRight w:val="0"/>
      <w:marTop w:val="0"/>
      <w:marBottom w:val="0"/>
      <w:divBdr>
        <w:top w:val="none" w:sz="0" w:space="0" w:color="auto"/>
        <w:left w:val="none" w:sz="0" w:space="0" w:color="auto"/>
        <w:bottom w:val="none" w:sz="0" w:space="0" w:color="auto"/>
        <w:right w:val="none" w:sz="0" w:space="0" w:color="auto"/>
      </w:divBdr>
    </w:div>
    <w:div w:id="762996302">
      <w:bodyDiv w:val="1"/>
      <w:marLeft w:val="0"/>
      <w:marRight w:val="0"/>
      <w:marTop w:val="0"/>
      <w:marBottom w:val="0"/>
      <w:divBdr>
        <w:top w:val="none" w:sz="0" w:space="0" w:color="auto"/>
        <w:left w:val="none" w:sz="0" w:space="0" w:color="auto"/>
        <w:bottom w:val="none" w:sz="0" w:space="0" w:color="auto"/>
        <w:right w:val="none" w:sz="0" w:space="0" w:color="auto"/>
      </w:divBdr>
    </w:div>
    <w:div w:id="1055816103">
      <w:bodyDiv w:val="1"/>
      <w:marLeft w:val="0"/>
      <w:marRight w:val="0"/>
      <w:marTop w:val="0"/>
      <w:marBottom w:val="0"/>
      <w:divBdr>
        <w:top w:val="none" w:sz="0" w:space="0" w:color="auto"/>
        <w:left w:val="none" w:sz="0" w:space="0" w:color="auto"/>
        <w:bottom w:val="none" w:sz="0" w:space="0" w:color="auto"/>
        <w:right w:val="none" w:sz="0" w:space="0" w:color="auto"/>
      </w:divBdr>
    </w:div>
    <w:div w:id="1503427361">
      <w:bodyDiv w:val="1"/>
      <w:marLeft w:val="0"/>
      <w:marRight w:val="0"/>
      <w:marTop w:val="0"/>
      <w:marBottom w:val="0"/>
      <w:divBdr>
        <w:top w:val="none" w:sz="0" w:space="0" w:color="auto"/>
        <w:left w:val="none" w:sz="0" w:space="0" w:color="auto"/>
        <w:bottom w:val="none" w:sz="0" w:space="0" w:color="auto"/>
        <w:right w:val="none" w:sz="0" w:space="0" w:color="auto"/>
      </w:divBdr>
    </w:div>
    <w:div w:id="1617784870">
      <w:bodyDiv w:val="1"/>
      <w:marLeft w:val="0"/>
      <w:marRight w:val="0"/>
      <w:marTop w:val="0"/>
      <w:marBottom w:val="0"/>
      <w:divBdr>
        <w:top w:val="none" w:sz="0" w:space="0" w:color="auto"/>
        <w:left w:val="none" w:sz="0" w:space="0" w:color="auto"/>
        <w:bottom w:val="none" w:sz="0" w:space="0" w:color="auto"/>
        <w:right w:val="none" w:sz="0" w:space="0" w:color="auto"/>
      </w:divBdr>
    </w:div>
    <w:div w:id="1654018249">
      <w:bodyDiv w:val="1"/>
      <w:marLeft w:val="0"/>
      <w:marRight w:val="0"/>
      <w:marTop w:val="0"/>
      <w:marBottom w:val="0"/>
      <w:divBdr>
        <w:top w:val="none" w:sz="0" w:space="0" w:color="auto"/>
        <w:left w:val="none" w:sz="0" w:space="0" w:color="auto"/>
        <w:bottom w:val="none" w:sz="0" w:space="0" w:color="auto"/>
        <w:right w:val="none" w:sz="0" w:space="0" w:color="auto"/>
      </w:divBdr>
    </w:div>
    <w:div w:id="1740589132">
      <w:bodyDiv w:val="1"/>
      <w:marLeft w:val="0"/>
      <w:marRight w:val="0"/>
      <w:marTop w:val="0"/>
      <w:marBottom w:val="0"/>
      <w:divBdr>
        <w:top w:val="none" w:sz="0" w:space="0" w:color="auto"/>
        <w:left w:val="none" w:sz="0" w:space="0" w:color="auto"/>
        <w:bottom w:val="none" w:sz="0" w:space="0" w:color="auto"/>
        <w:right w:val="none" w:sz="0" w:space="0" w:color="auto"/>
      </w:divBdr>
    </w:div>
    <w:div w:id="1806511183">
      <w:bodyDiv w:val="1"/>
      <w:marLeft w:val="0"/>
      <w:marRight w:val="0"/>
      <w:marTop w:val="0"/>
      <w:marBottom w:val="0"/>
      <w:divBdr>
        <w:top w:val="none" w:sz="0" w:space="0" w:color="auto"/>
        <w:left w:val="none" w:sz="0" w:space="0" w:color="auto"/>
        <w:bottom w:val="none" w:sz="0" w:space="0" w:color="auto"/>
        <w:right w:val="none" w:sz="0" w:space="0" w:color="auto"/>
      </w:divBdr>
    </w:div>
    <w:div w:id="1862861082">
      <w:bodyDiv w:val="1"/>
      <w:marLeft w:val="0"/>
      <w:marRight w:val="0"/>
      <w:marTop w:val="0"/>
      <w:marBottom w:val="0"/>
      <w:divBdr>
        <w:top w:val="none" w:sz="0" w:space="0" w:color="auto"/>
        <w:left w:val="none" w:sz="0" w:space="0" w:color="auto"/>
        <w:bottom w:val="none" w:sz="0" w:space="0" w:color="auto"/>
        <w:right w:val="none" w:sz="0" w:space="0" w:color="auto"/>
      </w:divBdr>
    </w:div>
    <w:div w:id="1893467168">
      <w:bodyDiv w:val="1"/>
      <w:marLeft w:val="0"/>
      <w:marRight w:val="0"/>
      <w:marTop w:val="0"/>
      <w:marBottom w:val="0"/>
      <w:divBdr>
        <w:top w:val="none" w:sz="0" w:space="0" w:color="auto"/>
        <w:left w:val="none" w:sz="0" w:space="0" w:color="auto"/>
        <w:bottom w:val="none" w:sz="0" w:space="0" w:color="auto"/>
        <w:right w:val="none" w:sz="0" w:space="0" w:color="auto"/>
      </w:divBdr>
    </w:div>
    <w:div w:id="1934627021">
      <w:bodyDiv w:val="1"/>
      <w:marLeft w:val="0"/>
      <w:marRight w:val="0"/>
      <w:marTop w:val="0"/>
      <w:marBottom w:val="0"/>
      <w:divBdr>
        <w:top w:val="none" w:sz="0" w:space="0" w:color="auto"/>
        <w:left w:val="none" w:sz="0" w:space="0" w:color="auto"/>
        <w:bottom w:val="none" w:sz="0" w:space="0" w:color="auto"/>
        <w:right w:val="none" w:sz="0" w:space="0" w:color="auto"/>
      </w:divBdr>
    </w:div>
    <w:div w:id="1978028341">
      <w:bodyDiv w:val="1"/>
      <w:marLeft w:val="0"/>
      <w:marRight w:val="0"/>
      <w:marTop w:val="0"/>
      <w:marBottom w:val="0"/>
      <w:divBdr>
        <w:top w:val="none" w:sz="0" w:space="0" w:color="auto"/>
        <w:left w:val="none" w:sz="0" w:space="0" w:color="auto"/>
        <w:bottom w:val="none" w:sz="0" w:space="0" w:color="auto"/>
        <w:right w:val="none" w:sz="0" w:space="0" w:color="auto"/>
      </w:divBdr>
    </w:div>
    <w:div w:id="20482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1F84-105B-4704-A479-1DDBFE17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HERBOUILLER</dc:creator>
  <cp:lastModifiedBy>Alvarez de Cozar, Maria</cp:lastModifiedBy>
  <cp:revision>2</cp:revision>
  <cp:lastPrinted>2019-10-10T08:30:00Z</cp:lastPrinted>
  <dcterms:created xsi:type="dcterms:W3CDTF">2019-10-17T07:42:00Z</dcterms:created>
  <dcterms:modified xsi:type="dcterms:W3CDTF">2019-10-17T07:42:00Z</dcterms:modified>
</cp:coreProperties>
</file>