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5616E" w14:textId="77777777" w:rsidR="00AF0FD0" w:rsidRPr="00AF0FD0" w:rsidRDefault="00AF0FD0" w:rsidP="00AF0FD0">
      <w:pPr>
        <w:spacing w:before="120" w:after="120"/>
        <w:jc w:val="center"/>
        <w:rPr>
          <w:rFonts w:asciiTheme="minorHAnsi" w:hAnsiTheme="minorHAnsi" w:cstheme="minorHAnsi"/>
          <w:b/>
          <w:bCs/>
          <w:noProof/>
          <w:sz w:val="22"/>
          <w:lang w:val="en-US"/>
        </w:rPr>
      </w:pPr>
      <w:r w:rsidRPr="00AF0FD0">
        <w:rPr>
          <w:rFonts w:asciiTheme="minorHAnsi" w:hAnsiTheme="minorHAnsi" w:cstheme="minorHAnsi"/>
          <w:b/>
          <w:bCs/>
          <w:noProof/>
          <w:sz w:val="22"/>
          <w:lang w:val="en-US"/>
        </w:rPr>
        <w:t>Committee on Trade Facilitation</w:t>
      </w:r>
    </w:p>
    <w:p w14:paraId="7DD7B20B" w14:textId="5E907A17" w:rsidR="00AF0FD0" w:rsidRPr="00AF0FD0" w:rsidRDefault="00AF0FD0" w:rsidP="00AF0FD0">
      <w:pPr>
        <w:spacing w:before="120" w:after="120"/>
        <w:jc w:val="center"/>
        <w:rPr>
          <w:rFonts w:asciiTheme="minorHAnsi" w:hAnsiTheme="minorHAnsi" w:cstheme="minorHAnsi"/>
          <w:b/>
          <w:bCs/>
          <w:noProof/>
          <w:sz w:val="22"/>
          <w:lang w:val="en-US"/>
        </w:rPr>
      </w:pPr>
      <w:r w:rsidRPr="00AF0FD0">
        <w:rPr>
          <w:rFonts w:asciiTheme="minorHAnsi" w:hAnsiTheme="minorHAnsi" w:cstheme="minorHAnsi"/>
          <w:b/>
          <w:bCs/>
          <w:noProof/>
          <w:sz w:val="22"/>
          <w:lang w:val="en-US"/>
        </w:rPr>
        <w:t>21 October 2021</w:t>
      </w:r>
    </w:p>
    <w:p w14:paraId="5DCA8B17" w14:textId="77777777" w:rsidR="00AF0FD0" w:rsidRDefault="00AF0FD0" w:rsidP="00AF0FD0">
      <w:pPr>
        <w:spacing w:before="120" w:after="120"/>
        <w:jc w:val="center"/>
        <w:rPr>
          <w:rFonts w:asciiTheme="minorHAnsi" w:hAnsiTheme="minorHAnsi" w:cstheme="minorHAnsi"/>
          <w:b/>
          <w:bCs/>
          <w:noProof/>
          <w:sz w:val="22"/>
          <w:u w:val="single"/>
          <w:lang w:val="en-US"/>
        </w:rPr>
      </w:pPr>
      <w:r w:rsidRPr="00AF0FD0">
        <w:rPr>
          <w:rFonts w:asciiTheme="minorHAnsi" w:hAnsiTheme="minorHAnsi" w:cstheme="minorHAnsi"/>
          <w:b/>
          <w:bCs/>
          <w:noProof/>
          <w:sz w:val="22"/>
          <w:u w:val="single"/>
          <w:lang w:val="en-US"/>
        </w:rPr>
        <w:t xml:space="preserve">WCO intervention under agenda item 4 of the </w:t>
      </w:r>
    </w:p>
    <w:p w14:paraId="305BC608" w14:textId="4EDF0B8A" w:rsidR="00AF0FD0" w:rsidRPr="00AF0FD0" w:rsidRDefault="00AF0FD0" w:rsidP="00AF0FD0">
      <w:pPr>
        <w:spacing w:before="120" w:after="120"/>
        <w:jc w:val="center"/>
        <w:rPr>
          <w:rFonts w:asciiTheme="minorHAnsi" w:hAnsiTheme="minorHAnsi" w:cstheme="minorHAnsi"/>
          <w:b/>
          <w:bCs/>
          <w:noProof/>
          <w:sz w:val="22"/>
          <w:u w:val="single"/>
          <w:lang w:val="en-US"/>
        </w:rPr>
      </w:pPr>
      <w:r w:rsidRPr="00AF0FD0">
        <w:rPr>
          <w:rFonts w:asciiTheme="minorHAnsi" w:hAnsiTheme="minorHAnsi" w:cstheme="minorHAnsi"/>
          <w:b/>
          <w:bCs/>
          <w:noProof/>
          <w:sz w:val="22"/>
          <w:u w:val="single"/>
          <w:lang w:val="en-US"/>
        </w:rPr>
        <w:t>Dedicated session on assistance and capacity building</w:t>
      </w:r>
    </w:p>
    <w:p w14:paraId="4B427067" w14:textId="77777777" w:rsidR="00AF0FD0" w:rsidRDefault="00AF0FD0" w:rsidP="00AF0FD0">
      <w:pPr>
        <w:spacing w:before="120" w:after="120"/>
        <w:jc w:val="left"/>
        <w:rPr>
          <w:rFonts w:asciiTheme="minorHAnsi" w:hAnsiTheme="minorHAnsi" w:cstheme="minorHAnsi"/>
          <w:noProof/>
          <w:sz w:val="22"/>
          <w:lang w:val="en-US"/>
        </w:rPr>
      </w:pPr>
    </w:p>
    <w:p w14:paraId="5419F8C9" w14:textId="67A8A157" w:rsidR="002E51F6" w:rsidRPr="00B053F6" w:rsidRDefault="002E51F6" w:rsidP="00AF0FD0">
      <w:pPr>
        <w:spacing w:before="120" w:after="120"/>
        <w:jc w:val="left"/>
        <w:rPr>
          <w:rFonts w:asciiTheme="minorHAnsi" w:hAnsiTheme="minorHAnsi" w:cstheme="minorHAnsi"/>
          <w:noProof/>
          <w:sz w:val="22"/>
          <w:lang w:val="en-US"/>
        </w:rPr>
      </w:pPr>
      <w:r w:rsidRPr="00B053F6">
        <w:rPr>
          <w:rFonts w:asciiTheme="minorHAnsi" w:hAnsiTheme="minorHAnsi" w:cstheme="minorHAnsi"/>
          <w:noProof/>
          <w:sz w:val="22"/>
          <w:lang w:val="en-US"/>
        </w:rPr>
        <w:t>Thank you Chairperson,</w:t>
      </w:r>
    </w:p>
    <w:p w14:paraId="205D0DF7" w14:textId="5515EF86" w:rsidR="002E51F6" w:rsidRPr="00B053F6" w:rsidRDefault="0074742E" w:rsidP="00022158">
      <w:pPr>
        <w:spacing w:before="120" w:after="120"/>
        <w:jc w:val="left"/>
        <w:rPr>
          <w:rFonts w:asciiTheme="minorHAnsi" w:hAnsiTheme="minorHAnsi" w:cstheme="minorHAnsi"/>
          <w:noProof/>
          <w:sz w:val="22"/>
          <w:lang w:val="en-US"/>
        </w:rPr>
      </w:pPr>
      <w:r>
        <w:rPr>
          <w:rFonts w:asciiTheme="minorHAnsi" w:hAnsiTheme="minorHAnsi" w:cstheme="minorHAnsi"/>
          <w:noProof/>
          <w:sz w:val="22"/>
          <w:lang w:val="en-US"/>
        </w:rPr>
        <w:t xml:space="preserve">Good morning, good </w:t>
      </w:r>
      <w:r w:rsidR="002E51F6" w:rsidRPr="00B053F6">
        <w:rPr>
          <w:rFonts w:asciiTheme="minorHAnsi" w:hAnsiTheme="minorHAnsi" w:cstheme="minorHAnsi"/>
          <w:noProof/>
          <w:sz w:val="22"/>
          <w:lang w:val="en-US"/>
        </w:rPr>
        <w:t xml:space="preserve">afternoon </w:t>
      </w:r>
      <w:r>
        <w:rPr>
          <w:rFonts w:asciiTheme="minorHAnsi" w:hAnsiTheme="minorHAnsi" w:cstheme="minorHAnsi"/>
          <w:noProof/>
          <w:sz w:val="22"/>
          <w:lang w:val="en-US"/>
        </w:rPr>
        <w:t xml:space="preserve">and good evening </w:t>
      </w:r>
      <w:r w:rsidR="002E51F6" w:rsidRPr="00B053F6">
        <w:rPr>
          <w:rFonts w:asciiTheme="minorHAnsi" w:hAnsiTheme="minorHAnsi" w:cstheme="minorHAnsi"/>
          <w:noProof/>
          <w:sz w:val="22"/>
          <w:lang w:val="en-US"/>
        </w:rPr>
        <w:t>to all the delegates, including my fellow colleagues from the Annex D organizations.</w:t>
      </w:r>
    </w:p>
    <w:p w14:paraId="39FC074C" w14:textId="75376BC5" w:rsidR="00EF34E7" w:rsidRPr="00B053F6" w:rsidRDefault="002E51F6" w:rsidP="00022158">
      <w:pPr>
        <w:spacing w:before="120" w:after="120"/>
        <w:jc w:val="left"/>
        <w:rPr>
          <w:rFonts w:asciiTheme="minorHAnsi" w:hAnsiTheme="minorHAnsi" w:cstheme="minorHAnsi"/>
          <w:noProof/>
          <w:sz w:val="22"/>
          <w:lang w:val="en-US"/>
        </w:rPr>
      </w:pPr>
      <w:r w:rsidRPr="00B053F6">
        <w:rPr>
          <w:rFonts w:asciiTheme="minorHAnsi" w:hAnsiTheme="minorHAnsi" w:cstheme="minorHAnsi"/>
          <w:noProof/>
          <w:sz w:val="22"/>
          <w:lang w:val="en-US"/>
        </w:rPr>
        <w:t xml:space="preserve">The WCO has submitted its contribution to the progress report from Annex D organizations where we have shared concise information on the developments since the last report submitted in April this year. </w:t>
      </w:r>
    </w:p>
    <w:p w14:paraId="7826064A" w14:textId="1DFB27D5" w:rsidR="00EF34E7" w:rsidRPr="00B053F6" w:rsidRDefault="00EF34E7" w:rsidP="00022158">
      <w:pPr>
        <w:spacing w:before="120" w:after="120"/>
        <w:jc w:val="left"/>
        <w:rPr>
          <w:rFonts w:asciiTheme="minorHAnsi" w:hAnsiTheme="minorHAnsi" w:cstheme="minorHAnsi"/>
          <w:noProof/>
          <w:sz w:val="22"/>
          <w:lang w:val="en-US"/>
        </w:rPr>
      </w:pPr>
      <w:r w:rsidRPr="00B053F6">
        <w:rPr>
          <w:rFonts w:asciiTheme="minorHAnsi" w:hAnsiTheme="minorHAnsi" w:cstheme="minorHAnsi"/>
          <w:noProof/>
          <w:sz w:val="22"/>
          <w:lang w:val="en-US"/>
        </w:rPr>
        <w:t>I would like to provide you with a bit more detail on some of the activities carried out through the Mercator programme to support our Membership in implementing the TFA.</w:t>
      </w:r>
    </w:p>
    <w:p w14:paraId="65CC3EF0" w14:textId="273737AE" w:rsidR="00EF34E7" w:rsidRDefault="000B172F" w:rsidP="00022158">
      <w:pPr>
        <w:spacing w:before="120" w:after="120"/>
        <w:jc w:val="left"/>
        <w:rPr>
          <w:rFonts w:asciiTheme="minorHAnsi" w:hAnsiTheme="minorHAnsi" w:cstheme="minorHAnsi"/>
          <w:noProof/>
          <w:sz w:val="22"/>
          <w:lang w:val="en-US"/>
        </w:rPr>
      </w:pPr>
      <w:r>
        <w:rPr>
          <w:rFonts w:asciiTheme="minorHAnsi" w:hAnsiTheme="minorHAnsi" w:cstheme="minorHAnsi"/>
          <w:noProof/>
          <w:sz w:val="22"/>
          <w:lang w:val="en-US"/>
        </w:rPr>
        <w:t>As most of you are probably already aware, t</w:t>
      </w:r>
      <w:r w:rsidR="00EF34E7" w:rsidRPr="00B053F6">
        <w:rPr>
          <w:rFonts w:asciiTheme="minorHAnsi" w:hAnsiTheme="minorHAnsi" w:cstheme="minorHAnsi"/>
          <w:noProof/>
          <w:sz w:val="22"/>
          <w:lang w:val="en-US"/>
        </w:rPr>
        <w:t>he Mercator Programme follows a dual-track approach that is comprised of overall and tailor-made tracks, allowing the WCO to respond to important cross-cutting, as well as country specific challenges to TFA implementation</w:t>
      </w:r>
    </w:p>
    <w:p w14:paraId="14BB1B2B" w14:textId="57BF9D15" w:rsidR="002E51F6" w:rsidRPr="00B053F6" w:rsidRDefault="00EF34E7" w:rsidP="00022158">
      <w:pPr>
        <w:spacing w:before="120" w:after="120"/>
        <w:jc w:val="left"/>
        <w:rPr>
          <w:rFonts w:asciiTheme="minorHAnsi" w:hAnsiTheme="minorHAnsi" w:cstheme="minorHAnsi"/>
          <w:noProof/>
          <w:sz w:val="22"/>
          <w:lang w:val="en-US"/>
        </w:rPr>
      </w:pPr>
      <w:r w:rsidRPr="00B053F6">
        <w:rPr>
          <w:rFonts w:asciiTheme="minorHAnsi" w:hAnsiTheme="minorHAnsi" w:cstheme="minorHAnsi"/>
          <w:noProof/>
          <w:sz w:val="22"/>
          <w:lang w:val="en-US"/>
        </w:rPr>
        <w:t xml:space="preserve">I would like to start with the developments under the </w:t>
      </w:r>
      <w:r w:rsidRPr="00022158">
        <w:rPr>
          <w:rFonts w:asciiTheme="minorHAnsi" w:hAnsiTheme="minorHAnsi" w:cstheme="minorHAnsi"/>
          <w:bCs/>
          <w:noProof/>
          <w:sz w:val="22"/>
          <w:lang w:val="en-US"/>
        </w:rPr>
        <w:t>overall track</w:t>
      </w:r>
      <w:r w:rsidRPr="00B053F6">
        <w:rPr>
          <w:rFonts w:asciiTheme="minorHAnsi" w:hAnsiTheme="minorHAnsi" w:cstheme="minorHAnsi"/>
          <w:noProof/>
          <w:sz w:val="22"/>
          <w:lang w:val="en-US"/>
        </w:rPr>
        <w:t xml:space="preserve"> which are important for the Membership broadly. </w:t>
      </w:r>
    </w:p>
    <w:p w14:paraId="2297B62C" w14:textId="77660282" w:rsidR="00103FB0" w:rsidRPr="00B053F6" w:rsidRDefault="00EF34E7" w:rsidP="00022158">
      <w:pPr>
        <w:spacing w:before="120" w:after="120"/>
        <w:jc w:val="left"/>
        <w:rPr>
          <w:rFonts w:asciiTheme="minorHAnsi" w:hAnsiTheme="minorHAnsi" w:cstheme="minorHAnsi"/>
          <w:noProof/>
          <w:sz w:val="22"/>
          <w:lang w:val="en-US"/>
        </w:rPr>
      </w:pPr>
      <w:r w:rsidRPr="00B053F6">
        <w:rPr>
          <w:rFonts w:asciiTheme="minorHAnsi" w:hAnsiTheme="minorHAnsi" w:cstheme="minorHAnsi"/>
          <w:noProof/>
          <w:sz w:val="22"/>
          <w:lang w:val="en-US"/>
        </w:rPr>
        <w:t>In June this year we held the</w:t>
      </w:r>
      <w:r w:rsidR="002E51F6" w:rsidRPr="00B053F6">
        <w:rPr>
          <w:rFonts w:asciiTheme="minorHAnsi" w:hAnsiTheme="minorHAnsi" w:cstheme="minorHAnsi"/>
          <w:noProof/>
          <w:sz w:val="22"/>
          <w:lang w:val="en-US"/>
        </w:rPr>
        <w:t xml:space="preserve"> Council session which was an opportunity for many of the tools that have gone through the different working bodies to be finally approved by WCO’s highest decision-</w:t>
      </w:r>
      <w:r w:rsidR="007528A7">
        <w:rPr>
          <w:rFonts w:asciiTheme="minorHAnsi" w:hAnsiTheme="minorHAnsi" w:cstheme="minorHAnsi"/>
          <w:noProof/>
          <w:sz w:val="22"/>
          <w:lang w:val="en-US"/>
        </w:rPr>
        <w:t xml:space="preserve">making body. After that, they have been </w:t>
      </w:r>
      <w:r w:rsidR="00103FB0" w:rsidRPr="00B053F6">
        <w:rPr>
          <w:rFonts w:asciiTheme="minorHAnsi" w:hAnsiTheme="minorHAnsi" w:cstheme="minorHAnsi"/>
          <w:noProof/>
          <w:sz w:val="22"/>
          <w:lang w:val="en-US"/>
        </w:rPr>
        <w:t>made available to the Membership</w:t>
      </w:r>
      <w:r w:rsidRPr="00B053F6">
        <w:rPr>
          <w:rFonts w:asciiTheme="minorHAnsi" w:hAnsiTheme="minorHAnsi" w:cstheme="minorHAnsi"/>
          <w:noProof/>
          <w:sz w:val="22"/>
          <w:lang w:val="en-US"/>
        </w:rPr>
        <w:t xml:space="preserve"> and more broadly</w:t>
      </w:r>
      <w:r w:rsidR="005754EE">
        <w:rPr>
          <w:rFonts w:asciiTheme="minorHAnsi" w:hAnsiTheme="minorHAnsi" w:cstheme="minorHAnsi"/>
          <w:noProof/>
          <w:sz w:val="22"/>
          <w:lang w:val="en-US"/>
        </w:rPr>
        <w:t>,</w:t>
      </w:r>
      <w:r w:rsidRPr="00B053F6">
        <w:rPr>
          <w:rFonts w:asciiTheme="minorHAnsi" w:hAnsiTheme="minorHAnsi" w:cstheme="minorHAnsi"/>
          <w:noProof/>
          <w:sz w:val="22"/>
          <w:lang w:val="en-US"/>
        </w:rPr>
        <w:t xml:space="preserve"> as </w:t>
      </w:r>
      <w:r w:rsidR="00103FB0" w:rsidRPr="00B053F6">
        <w:rPr>
          <w:rFonts w:asciiTheme="minorHAnsi" w:hAnsiTheme="minorHAnsi" w:cstheme="minorHAnsi"/>
          <w:noProof/>
          <w:sz w:val="22"/>
          <w:lang w:val="en-US"/>
        </w:rPr>
        <w:t xml:space="preserve"> guidance </w:t>
      </w:r>
      <w:r w:rsidRPr="00B053F6">
        <w:rPr>
          <w:rFonts w:asciiTheme="minorHAnsi" w:hAnsiTheme="minorHAnsi" w:cstheme="minorHAnsi"/>
          <w:noProof/>
          <w:sz w:val="22"/>
          <w:lang w:val="en-US"/>
        </w:rPr>
        <w:t>material</w:t>
      </w:r>
      <w:r w:rsidR="00103FB0" w:rsidRPr="00B053F6">
        <w:rPr>
          <w:rFonts w:asciiTheme="minorHAnsi" w:hAnsiTheme="minorHAnsi" w:cstheme="minorHAnsi"/>
          <w:noProof/>
          <w:sz w:val="22"/>
          <w:lang w:val="en-US"/>
        </w:rPr>
        <w:t>.</w:t>
      </w:r>
    </w:p>
    <w:p w14:paraId="628CF80E" w14:textId="6B94BB86" w:rsidR="00750E7B" w:rsidRDefault="005754EE" w:rsidP="00022158">
      <w:pPr>
        <w:spacing w:before="120" w:after="120"/>
        <w:jc w:val="left"/>
        <w:rPr>
          <w:rFonts w:asciiTheme="minorHAnsi" w:hAnsiTheme="minorHAnsi" w:cstheme="minorHAnsi"/>
          <w:noProof/>
          <w:sz w:val="22"/>
          <w:lang w:val="en-US"/>
        </w:rPr>
      </w:pPr>
      <w:r>
        <w:rPr>
          <w:rFonts w:asciiTheme="minorHAnsi" w:hAnsiTheme="minorHAnsi" w:cstheme="minorHAnsi"/>
          <w:noProof/>
          <w:sz w:val="22"/>
          <w:lang w:val="en-US"/>
        </w:rPr>
        <w:t xml:space="preserve">The completed tools </w:t>
      </w:r>
      <w:r w:rsidR="00DF527F">
        <w:rPr>
          <w:rFonts w:asciiTheme="minorHAnsi" w:hAnsiTheme="minorHAnsi" w:cstheme="minorHAnsi"/>
          <w:noProof/>
          <w:sz w:val="22"/>
          <w:lang w:val="en-US"/>
        </w:rPr>
        <w:t>support</w:t>
      </w:r>
      <w:r>
        <w:rPr>
          <w:rFonts w:asciiTheme="minorHAnsi" w:hAnsiTheme="minorHAnsi" w:cstheme="minorHAnsi"/>
          <w:noProof/>
          <w:sz w:val="22"/>
          <w:lang w:val="en-US"/>
        </w:rPr>
        <w:t xml:space="preserve"> a number of areas, notably</w:t>
      </w:r>
      <w:r w:rsidR="00750E7B">
        <w:rPr>
          <w:rFonts w:asciiTheme="minorHAnsi" w:hAnsiTheme="minorHAnsi" w:cstheme="minorHAnsi"/>
          <w:noProof/>
          <w:sz w:val="22"/>
          <w:lang w:val="en-US"/>
        </w:rPr>
        <w:t xml:space="preserve"> facilitation of essential and other goods in disaster situations such as the WCO Guidelines on Disaster Management and Supply Chain Continuity. Others include tools to support facil</w:t>
      </w:r>
      <w:r w:rsidR="00C76B1E">
        <w:rPr>
          <w:rFonts w:asciiTheme="minorHAnsi" w:hAnsiTheme="minorHAnsi" w:cstheme="minorHAnsi"/>
          <w:noProof/>
          <w:sz w:val="22"/>
          <w:lang w:val="en-US"/>
        </w:rPr>
        <w:t>i</w:t>
      </w:r>
      <w:r w:rsidR="00750E7B">
        <w:rPr>
          <w:rFonts w:asciiTheme="minorHAnsi" w:hAnsiTheme="minorHAnsi" w:cstheme="minorHAnsi"/>
          <w:noProof/>
          <w:sz w:val="22"/>
          <w:lang w:val="en-US"/>
        </w:rPr>
        <w:t>tation of</w:t>
      </w:r>
      <w:r w:rsidR="00DF527F">
        <w:rPr>
          <w:rFonts w:asciiTheme="minorHAnsi" w:hAnsiTheme="minorHAnsi" w:cstheme="minorHAnsi"/>
          <w:noProof/>
          <w:sz w:val="22"/>
          <w:lang w:val="en-US"/>
        </w:rPr>
        <w:t xml:space="preserve"> e-commerce shipments</w:t>
      </w:r>
      <w:r w:rsidR="00750E7B">
        <w:rPr>
          <w:rFonts w:asciiTheme="minorHAnsi" w:hAnsiTheme="minorHAnsi" w:cstheme="minorHAnsi"/>
          <w:noProof/>
          <w:sz w:val="22"/>
          <w:lang w:val="en-US"/>
        </w:rPr>
        <w:t>, such as the 2</w:t>
      </w:r>
      <w:r w:rsidR="00750E7B" w:rsidRPr="00750E7B">
        <w:rPr>
          <w:rFonts w:asciiTheme="minorHAnsi" w:hAnsiTheme="minorHAnsi" w:cstheme="minorHAnsi"/>
          <w:noProof/>
          <w:sz w:val="22"/>
          <w:vertAlign w:val="superscript"/>
          <w:lang w:val="en-US"/>
        </w:rPr>
        <w:t>nd</w:t>
      </w:r>
      <w:r w:rsidR="00750E7B">
        <w:rPr>
          <w:rFonts w:asciiTheme="minorHAnsi" w:hAnsiTheme="minorHAnsi" w:cstheme="minorHAnsi"/>
          <w:noProof/>
          <w:sz w:val="22"/>
          <w:lang w:val="en-US"/>
        </w:rPr>
        <w:t xml:space="preserve"> edition of the Compendium of Case Studies on E-Commerce and the </w:t>
      </w:r>
      <w:r w:rsidR="00E577E5">
        <w:rPr>
          <w:rFonts w:asciiTheme="minorHAnsi" w:hAnsiTheme="minorHAnsi" w:cstheme="minorHAnsi"/>
          <w:noProof/>
          <w:sz w:val="22"/>
          <w:lang w:val="en-US"/>
        </w:rPr>
        <w:t xml:space="preserve">two </w:t>
      </w:r>
      <w:r w:rsidR="00750E7B">
        <w:rPr>
          <w:rFonts w:asciiTheme="minorHAnsi" w:hAnsiTheme="minorHAnsi" w:cstheme="minorHAnsi"/>
          <w:noProof/>
          <w:sz w:val="22"/>
          <w:lang w:val="en-US"/>
        </w:rPr>
        <w:t>Secr</w:t>
      </w:r>
      <w:r w:rsidR="00E577E5">
        <w:rPr>
          <w:rFonts w:asciiTheme="minorHAnsi" w:hAnsiTheme="minorHAnsi" w:cstheme="minorHAnsi"/>
          <w:noProof/>
          <w:sz w:val="22"/>
          <w:lang w:val="en-US"/>
        </w:rPr>
        <w:t>e</w:t>
      </w:r>
      <w:r w:rsidR="00750E7B">
        <w:rPr>
          <w:rFonts w:asciiTheme="minorHAnsi" w:hAnsiTheme="minorHAnsi" w:cstheme="minorHAnsi"/>
          <w:noProof/>
          <w:sz w:val="22"/>
          <w:lang w:val="en-US"/>
        </w:rPr>
        <w:t xml:space="preserve">tariat </w:t>
      </w:r>
      <w:r w:rsidR="00E577E5">
        <w:rPr>
          <w:rFonts w:asciiTheme="minorHAnsi" w:hAnsiTheme="minorHAnsi" w:cstheme="minorHAnsi"/>
          <w:noProof/>
          <w:sz w:val="22"/>
          <w:lang w:val="en-US"/>
        </w:rPr>
        <w:t>N</w:t>
      </w:r>
      <w:r w:rsidR="00750E7B">
        <w:rPr>
          <w:rFonts w:asciiTheme="minorHAnsi" w:hAnsiTheme="minorHAnsi" w:cstheme="minorHAnsi"/>
          <w:noProof/>
          <w:sz w:val="22"/>
          <w:lang w:val="en-US"/>
        </w:rPr>
        <w:t>ote</w:t>
      </w:r>
      <w:r w:rsidR="00E577E5">
        <w:rPr>
          <w:rFonts w:asciiTheme="minorHAnsi" w:hAnsiTheme="minorHAnsi" w:cstheme="minorHAnsi"/>
          <w:noProof/>
          <w:sz w:val="22"/>
          <w:lang w:val="en-US"/>
        </w:rPr>
        <w:t>s</w:t>
      </w:r>
      <w:r w:rsidR="00750E7B">
        <w:rPr>
          <w:rFonts w:asciiTheme="minorHAnsi" w:hAnsiTheme="minorHAnsi" w:cstheme="minorHAnsi"/>
          <w:noProof/>
          <w:sz w:val="22"/>
          <w:lang w:val="en-US"/>
        </w:rPr>
        <w:t xml:space="preserve"> on expanding the concept of Authorized Economic Operator (AEO) to cross-border e-commerce</w:t>
      </w:r>
      <w:r w:rsidR="007528A7">
        <w:rPr>
          <w:rFonts w:asciiTheme="minorHAnsi" w:hAnsiTheme="minorHAnsi" w:cstheme="minorHAnsi"/>
          <w:noProof/>
          <w:sz w:val="22"/>
          <w:lang w:val="en-US"/>
        </w:rPr>
        <w:t>,</w:t>
      </w:r>
      <w:r w:rsidR="00E577E5">
        <w:rPr>
          <w:rFonts w:asciiTheme="minorHAnsi" w:hAnsiTheme="minorHAnsi" w:cstheme="minorHAnsi"/>
          <w:noProof/>
          <w:sz w:val="22"/>
          <w:lang w:val="en-US"/>
        </w:rPr>
        <w:t xml:space="preserve"> as well as on effective and efficient revenue collection in cross-border e-commerce</w:t>
      </w:r>
      <w:r w:rsidR="00750E7B">
        <w:rPr>
          <w:rFonts w:asciiTheme="minorHAnsi" w:hAnsiTheme="minorHAnsi" w:cstheme="minorHAnsi"/>
          <w:noProof/>
          <w:sz w:val="22"/>
          <w:lang w:val="en-US"/>
        </w:rPr>
        <w:t>.</w:t>
      </w:r>
    </w:p>
    <w:p w14:paraId="3BEC6255" w14:textId="2C83BEEC" w:rsidR="00103FB0" w:rsidRPr="00B053F6" w:rsidRDefault="00750E7B" w:rsidP="00022158">
      <w:pPr>
        <w:spacing w:before="120" w:after="120"/>
        <w:jc w:val="left"/>
        <w:rPr>
          <w:rFonts w:asciiTheme="minorHAnsi" w:hAnsiTheme="minorHAnsi" w:cstheme="minorHAnsi"/>
          <w:noProof/>
          <w:sz w:val="22"/>
          <w:lang w:val="en-US"/>
        </w:rPr>
      </w:pPr>
      <w:r>
        <w:rPr>
          <w:rFonts w:asciiTheme="minorHAnsi" w:hAnsiTheme="minorHAnsi" w:cstheme="minorHAnsi"/>
          <w:noProof/>
          <w:sz w:val="22"/>
          <w:lang w:val="en-US"/>
        </w:rPr>
        <w:t>The WCO also approved tools to assist</w:t>
      </w:r>
      <w:r w:rsidR="00DF527F">
        <w:rPr>
          <w:rFonts w:asciiTheme="minorHAnsi" w:hAnsiTheme="minorHAnsi" w:cstheme="minorHAnsi"/>
          <w:noProof/>
          <w:sz w:val="22"/>
          <w:lang w:val="en-US"/>
        </w:rPr>
        <w:t xml:space="preserve"> in implementing </w:t>
      </w:r>
      <w:r w:rsidR="005754EE">
        <w:rPr>
          <w:rFonts w:asciiTheme="minorHAnsi" w:hAnsiTheme="minorHAnsi" w:cstheme="minorHAnsi"/>
          <w:noProof/>
          <w:sz w:val="22"/>
          <w:lang w:val="en-US"/>
        </w:rPr>
        <w:t xml:space="preserve">certain technical measures in the TFA, such as </w:t>
      </w:r>
      <w:r w:rsidR="00DF527F">
        <w:rPr>
          <w:rFonts w:asciiTheme="minorHAnsi" w:hAnsiTheme="minorHAnsi" w:cstheme="minorHAnsi"/>
          <w:noProof/>
          <w:sz w:val="22"/>
          <w:lang w:val="en-US"/>
        </w:rPr>
        <w:t>t</w:t>
      </w:r>
      <w:r w:rsidR="005754EE">
        <w:rPr>
          <w:rFonts w:asciiTheme="minorHAnsi" w:hAnsiTheme="minorHAnsi" w:cstheme="minorHAnsi"/>
          <w:noProof/>
          <w:sz w:val="22"/>
          <w:lang w:val="en-US"/>
        </w:rPr>
        <w:t xml:space="preserve">he </w:t>
      </w:r>
      <w:r w:rsidR="007528A7">
        <w:rPr>
          <w:rFonts w:asciiTheme="minorHAnsi" w:hAnsiTheme="minorHAnsi" w:cstheme="minorHAnsi"/>
          <w:noProof/>
          <w:sz w:val="22"/>
          <w:lang w:val="en-US"/>
        </w:rPr>
        <w:t>AEOs, through two particular tools: t</w:t>
      </w:r>
      <w:r>
        <w:rPr>
          <w:rFonts w:asciiTheme="minorHAnsi" w:hAnsiTheme="minorHAnsi" w:cstheme="minorHAnsi"/>
          <w:noProof/>
          <w:sz w:val="22"/>
          <w:lang w:val="en-US"/>
        </w:rPr>
        <w:t xml:space="preserve">he AEO Implementation and Validation Guidance and the Regional Customs Union AEO programmes and plurilateral </w:t>
      </w:r>
      <w:r w:rsidR="007528A7">
        <w:rPr>
          <w:rFonts w:asciiTheme="minorHAnsi" w:hAnsiTheme="minorHAnsi" w:cstheme="minorHAnsi"/>
          <w:noProof/>
          <w:sz w:val="22"/>
          <w:lang w:val="en-US"/>
        </w:rPr>
        <w:t>mutual recognition arrangements (</w:t>
      </w:r>
      <w:r>
        <w:rPr>
          <w:rFonts w:asciiTheme="minorHAnsi" w:hAnsiTheme="minorHAnsi" w:cstheme="minorHAnsi"/>
          <w:noProof/>
          <w:sz w:val="22"/>
          <w:lang w:val="en-US"/>
        </w:rPr>
        <w:t>MRAs</w:t>
      </w:r>
      <w:r w:rsidR="007528A7">
        <w:rPr>
          <w:rFonts w:asciiTheme="minorHAnsi" w:hAnsiTheme="minorHAnsi" w:cstheme="minorHAnsi"/>
          <w:noProof/>
          <w:sz w:val="22"/>
          <w:lang w:val="en-US"/>
        </w:rPr>
        <w:t>)</w:t>
      </w:r>
      <w:r>
        <w:rPr>
          <w:rFonts w:asciiTheme="minorHAnsi" w:hAnsiTheme="minorHAnsi" w:cstheme="minorHAnsi"/>
          <w:noProof/>
          <w:sz w:val="22"/>
          <w:lang w:val="en-US"/>
        </w:rPr>
        <w:t>. A number of tools were developed to support r</w:t>
      </w:r>
      <w:r w:rsidR="005754EE">
        <w:rPr>
          <w:rFonts w:asciiTheme="minorHAnsi" w:hAnsiTheme="minorHAnsi" w:cstheme="minorHAnsi"/>
          <w:noProof/>
          <w:sz w:val="22"/>
          <w:lang w:val="en-US"/>
        </w:rPr>
        <w:t xml:space="preserve">isk management, </w:t>
      </w:r>
      <w:r>
        <w:rPr>
          <w:rFonts w:asciiTheme="minorHAnsi" w:hAnsiTheme="minorHAnsi" w:cstheme="minorHAnsi"/>
          <w:noProof/>
          <w:sz w:val="22"/>
          <w:lang w:val="en-US"/>
        </w:rPr>
        <w:t>such as the the Maturity Model and Diagnostic Tool, as well as the Customs Risk Management during a pandemic</w:t>
      </w:r>
      <w:r w:rsidR="005754EE">
        <w:rPr>
          <w:rFonts w:asciiTheme="minorHAnsi" w:hAnsiTheme="minorHAnsi" w:cstheme="minorHAnsi"/>
          <w:noProof/>
          <w:sz w:val="22"/>
          <w:lang w:val="en-US"/>
        </w:rPr>
        <w:t xml:space="preserve">. </w:t>
      </w:r>
    </w:p>
    <w:p w14:paraId="68F87E3C" w14:textId="1E61F16A" w:rsidR="00DF527F" w:rsidRDefault="00DF527F" w:rsidP="00022158">
      <w:pPr>
        <w:spacing w:before="120" w:after="120"/>
        <w:rPr>
          <w:rFonts w:asciiTheme="minorHAnsi" w:hAnsiTheme="minorHAnsi" w:cstheme="minorHAnsi"/>
          <w:sz w:val="22"/>
        </w:rPr>
      </w:pPr>
      <w:r>
        <w:rPr>
          <w:rFonts w:asciiTheme="minorHAnsi" w:hAnsiTheme="minorHAnsi" w:cstheme="minorHAnsi"/>
          <w:sz w:val="22"/>
        </w:rPr>
        <w:t xml:space="preserve">We take note of the interest expressed by the European Union in the meeting yesterday for the WCO to present on the Guidelines on Disaster Management and Supply Chain Continuity, as well as on </w:t>
      </w:r>
      <w:r w:rsidR="00E577E5">
        <w:rPr>
          <w:rFonts w:asciiTheme="minorHAnsi" w:hAnsiTheme="minorHAnsi" w:cstheme="minorHAnsi"/>
          <w:sz w:val="22"/>
        </w:rPr>
        <w:t xml:space="preserve">Customs </w:t>
      </w:r>
      <w:r>
        <w:rPr>
          <w:rFonts w:asciiTheme="minorHAnsi" w:hAnsiTheme="minorHAnsi" w:cstheme="minorHAnsi"/>
          <w:sz w:val="22"/>
        </w:rPr>
        <w:t>Risk Management</w:t>
      </w:r>
      <w:r w:rsidR="00E577E5">
        <w:rPr>
          <w:rFonts w:asciiTheme="minorHAnsi" w:hAnsiTheme="minorHAnsi" w:cstheme="minorHAnsi"/>
          <w:sz w:val="22"/>
        </w:rPr>
        <w:t xml:space="preserve"> during a pandemic</w:t>
      </w:r>
      <w:r>
        <w:rPr>
          <w:rFonts w:asciiTheme="minorHAnsi" w:hAnsiTheme="minorHAnsi" w:cstheme="minorHAnsi"/>
          <w:sz w:val="22"/>
        </w:rPr>
        <w:t xml:space="preserve">. We </w:t>
      </w:r>
      <w:r w:rsidR="00E7255A">
        <w:rPr>
          <w:rFonts w:asciiTheme="minorHAnsi" w:hAnsiTheme="minorHAnsi" w:cstheme="minorHAnsi"/>
          <w:sz w:val="22"/>
        </w:rPr>
        <w:t xml:space="preserve">can </w:t>
      </w:r>
      <w:r w:rsidR="00750E7B">
        <w:rPr>
          <w:rFonts w:asciiTheme="minorHAnsi" w:hAnsiTheme="minorHAnsi" w:cstheme="minorHAnsi"/>
          <w:sz w:val="22"/>
        </w:rPr>
        <w:t>arrange</w:t>
      </w:r>
      <w:r w:rsidR="00E7255A">
        <w:rPr>
          <w:rFonts w:asciiTheme="minorHAnsi" w:hAnsiTheme="minorHAnsi" w:cstheme="minorHAnsi"/>
          <w:sz w:val="22"/>
        </w:rPr>
        <w:t xml:space="preserve"> this </w:t>
      </w:r>
      <w:r w:rsidR="00750E7B">
        <w:rPr>
          <w:rFonts w:asciiTheme="minorHAnsi" w:hAnsiTheme="minorHAnsi" w:cstheme="minorHAnsi"/>
          <w:sz w:val="22"/>
        </w:rPr>
        <w:t xml:space="preserve">for one </w:t>
      </w:r>
      <w:r w:rsidR="00E7255A">
        <w:rPr>
          <w:rFonts w:asciiTheme="minorHAnsi" w:hAnsiTheme="minorHAnsi" w:cstheme="minorHAnsi"/>
          <w:sz w:val="22"/>
        </w:rPr>
        <w:t>of the meetings ahead, as appropriate</w:t>
      </w:r>
      <w:r>
        <w:rPr>
          <w:rFonts w:asciiTheme="minorHAnsi" w:hAnsiTheme="minorHAnsi" w:cstheme="minorHAnsi"/>
          <w:sz w:val="22"/>
        </w:rPr>
        <w:t>.</w:t>
      </w:r>
    </w:p>
    <w:p w14:paraId="36F9D182" w14:textId="5709748B" w:rsidR="00DF527F" w:rsidRDefault="00750E7B" w:rsidP="00022158">
      <w:pPr>
        <w:spacing w:before="120" w:after="120"/>
        <w:rPr>
          <w:rFonts w:asciiTheme="minorHAnsi" w:hAnsiTheme="minorHAnsi" w:cstheme="minorHAnsi"/>
          <w:sz w:val="22"/>
        </w:rPr>
      </w:pPr>
      <w:r>
        <w:rPr>
          <w:rFonts w:asciiTheme="minorHAnsi" w:hAnsiTheme="minorHAnsi" w:cstheme="minorHAnsi"/>
          <w:sz w:val="22"/>
        </w:rPr>
        <w:t xml:space="preserve">We are also in the process of developing </w:t>
      </w:r>
      <w:r w:rsidR="007528A7">
        <w:rPr>
          <w:rFonts w:asciiTheme="minorHAnsi" w:hAnsiTheme="minorHAnsi" w:cstheme="minorHAnsi"/>
          <w:sz w:val="22"/>
        </w:rPr>
        <w:t>new</w:t>
      </w:r>
      <w:r>
        <w:rPr>
          <w:rFonts w:asciiTheme="minorHAnsi" w:hAnsiTheme="minorHAnsi" w:cstheme="minorHAnsi"/>
          <w:sz w:val="22"/>
        </w:rPr>
        <w:t xml:space="preserve"> tools</w:t>
      </w:r>
      <w:r w:rsidR="007528A7">
        <w:rPr>
          <w:rFonts w:asciiTheme="minorHAnsi" w:hAnsiTheme="minorHAnsi" w:cstheme="minorHAnsi"/>
          <w:sz w:val="22"/>
        </w:rPr>
        <w:t xml:space="preserve"> and updating existing ones</w:t>
      </w:r>
      <w:r>
        <w:rPr>
          <w:rFonts w:asciiTheme="minorHAnsi" w:hAnsiTheme="minorHAnsi" w:cstheme="minorHAnsi"/>
          <w:sz w:val="22"/>
        </w:rPr>
        <w:t>.</w:t>
      </w:r>
    </w:p>
    <w:p w14:paraId="77D1B1D6" w14:textId="231CCACF" w:rsidR="00C525F3" w:rsidRDefault="00750E7B" w:rsidP="00022158">
      <w:pPr>
        <w:spacing w:before="120" w:after="120"/>
        <w:jc w:val="left"/>
        <w:rPr>
          <w:rFonts w:asciiTheme="minorHAnsi" w:hAnsiTheme="minorHAnsi" w:cstheme="minorHAnsi"/>
          <w:noProof/>
          <w:sz w:val="22"/>
        </w:rPr>
      </w:pPr>
      <w:r>
        <w:rPr>
          <w:rFonts w:asciiTheme="minorHAnsi" w:hAnsiTheme="minorHAnsi" w:cstheme="minorHAnsi"/>
          <w:noProof/>
          <w:sz w:val="22"/>
        </w:rPr>
        <w:t>An example is the</w:t>
      </w:r>
      <w:r w:rsidR="00C525F3">
        <w:rPr>
          <w:rFonts w:asciiTheme="minorHAnsi" w:hAnsiTheme="minorHAnsi" w:cstheme="minorHAnsi"/>
          <w:noProof/>
          <w:sz w:val="22"/>
        </w:rPr>
        <w:t xml:space="preserve"> O</w:t>
      </w:r>
      <w:r w:rsidR="00E7255A">
        <w:rPr>
          <w:rFonts w:asciiTheme="minorHAnsi" w:hAnsiTheme="minorHAnsi" w:cstheme="minorHAnsi"/>
          <w:noProof/>
          <w:sz w:val="22"/>
        </w:rPr>
        <w:t xml:space="preserve">nline AEO Compendium which would be a hugely benefitial tool </w:t>
      </w:r>
      <w:r w:rsidR="00C525F3">
        <w:rPr>
          <w:rFonts w:asciiTheme="minorHAnsi" w:hAnsiTheme="minorHAnsi" w:cstheme="minorHAnsi"/>
          <w:noProof/>
          <w:sz w:val="22"/>
        </w:rPr>
        <w:t xml:space="preserve">for Customs and  Trade around the world, making the information on AEO programmes and mutual administrative arrangements much more user friendly and readily availabile. </w:t>
      </w:r>
    </w:p>
    <w:p w14:paraId="156B16BE" w14:textId="406614E6" w:rsidR="00F73F04" w:rsidRDefault="00C525F3" w:rsidP="00022158">
      <w:pPr>
        <w:spacing w:before="120" w:after="120"/>
        <w:jc w:val="left"/>
        <w:rPr>
          <w:rFonts w:asciiTheme="minorHAnsi" w:hAnsiTheme="minorHAnsi" w:cstheme="minorHAnsi"/>
          <w:noProof/>
          <w:sz w:val="22"/>
        </w:rPr>
      </w:pPr>
      <w:r>
        <w:rPr>
          <w:rFonts w:asciiTheme="minorHAnsi" w:hAnsiTheme="minorHAnsi" w:cstheme="minorHAnsi"/>
          <w:noProof/>
          <w:sz w:val="22"/>
        </w:rPr>
        <w:lastRenderedPageBreak/>
        <w:t>Work also continues on refining existing tools for risk management and post-clearance audit such as the Risk Management Compendium and its operational vo</w:t>
      </w:r>
      <w:r w:rsidR="003C6548">
        <w:rPr>
          <w:rFonts w:asciiTheme="minorHAnsi" w:hAnsiTheme="minorHAnsi" w:cstheme="minorHAnsi"/>
          <w:noProof/>
          <w:sz w:val="22"/>
        </w:rPr>
        <w:t>l</w:t>
      </w:r>
      <w:r>
        <w:rPr>
          <w:rFonts w:asciiTheme="minorHAnsi" w:hAnsiTheme="minorHAnsi" w:cstheme="minorHAnsi"/>
          <w:noProof/>
          <w:sz w:val="22"/>
        </w:rPr>
        <w:t>ume, as well as the PCA Diagnostic Tool and the How to audit typology.</w:t>
      </w:r>
      <w:r w:rsidR="00F73F04">
        <w:rPr>
          <w:rFonts w:asciiTheme="minorHAnsi" w:hAnsiTheme="minorHAnsi" w:cstheme="minorHAnsi"/>
          <w:noProof/>
          <w:sz w:val="22"/>
        </w:rPr>
        <w:t xml:space="preserve"> We also have in the pipeline an update of the Technical Guidelines on advance rulings for classification, origin and valuation that will be enhanced with the results from an online survey on advance rulings. </w:t>
      </w:r>
    </w:p>
    <w:p w14:paraId="796756C3" w14:textId="3983C10E" w:rsidR="00C525F3" w:rsidRDefault="00F73F04" w:rsidP="00022158">
      <w:pPr>
        <w:pStyle w:val="BodyText"/>
        <w:numPr>
          <w:ilvl w:val="0"/>
          <w:numId w:val="0"/>
        </w:numPr>
        <w:spacing w:before="120" w:after="120"/>
        <w:rPr>
          <w:rFonts w:asciiTheme="minorHAnsi" w:hAnsiTheme="minorHAnsi" w:cstheme="minorHAnsi"/>
          <w:sz w:val="22"/>
        </w:rPr>
      </w:pPr>
      <w:r>
        <w:rPr>
          <w:rFonts w:asciiTheme="minorHAnsi" w:hAnsiTheme="minorHAnsi" w:cstheme="minorHAnsi"/>
          <w:sz w:val="22"/>
        </w:rPr>
        <w:t xml:space="preserve">We have also developed the Secretariat Note on the current state of play in the WCO Members regarding national </w:t>
      </w:r>
      <w:r w:rsidR="0074742E">
        <w:rPr>
          <w:rFonts w:asciiTheme="minorHAnsi" w:hAnsiTheme="minorHAnsi" w:cstheme="minorHAnsi"/>
          <w:sz w:val="22"/>
        </w:rPr>
        <w:t xml:space="preserve">trade facilitation </w:t>
      </w:r>
      <w:r>
        <w:rPr>
          <w:rFonts w:asciiTheme="minorHAnsi" w:hAnsiTheme="minorHAnsi" w:cstheme="minorHAnsi"/>
          <w:sz w:val="22"/>
        </w:rPr>
        <w:t>committees, as presented in detail by my colleague in the meeting yesterday.</w:t>
      </w:r>
    </w:p>
    <w:p w14:paraId="040694DF" w14:textId="7633B494" w:rsidR="00FD6433" w:rsidRDefault="00C525F3" w:rsidP="00022158">
      <w:pPr>
        <w:spacing w:before="120" w:after="120"/>
        <w:jc w:val="left"/>
        <w:rPr>
          <w:rFonts w:asciiTheme="minorHAnsi" w:hAnsiTheme="minorHAnsi" w:cstheme="minorHAnsi"/>
          <w:noProof/>
          <w:sz w:val="22"/>
        </w:rPr>
      </w:pPr>
      <w:r>
        <w:rPr>
          <w:rFonts w:asciiTheme="minorHAnsi" w:hAnsiTheme="minorHAnsi" w:cstheme="minorHAnsi"/>
          <w:noProof/>
          <w:sz w:val="22"/>
        </w:rPr>
        <w:t xml:space="preserve">Most of </w:t>
      </w:r>
      <w:r w:rsidR="007528A7">
        <w:rPr>
          <w:rFonts w:asciiTheme="minorHAnsi" w:hAnsiTheme="minorHAnsi" w:cstheme="minorHAnsi"/>
          <w:noProof/>
          <w:sz w:val="22"/>
        </w:rPr>
        <w:t>the WCO</w:t>
      </w:r>
      <w:r>
        <w:rPr>
          <w:rFonts w:asciiTheme="minorHAnsi" w:hAnsiTheme="minorHAnsi" w:cstheme="minorHAnsi"/>
          <w:noProof/>
          <w:sz w:val="22"/>
        </w:rPr>
        <w:t xml:space="preserve"> tools are made publicly available on our web site. There are of course limitations for some more sensitive </w:t>
      </w:r>
      <w:r w:rsidR="007528A7">
        <w:rPr>
          <w:rFonts w:asciiTheme="minorHAnsi" w:hAnsiTheme="minorHAnsi" w:cstheme="minorHAnsi"/>
          <w:noProof/>
          <w:sz w:val="22"/>
        </w:rPr>
        <w:t>ones</w:t>
      </w:r>
      <w:r>
        <w:rPr>
          <w:rFonts w:asciiTheme="minorHAnsi" w:hAnsiTheme="minorHAnsi" w:cstheme="minorHAnsi"/>
          <w:noProof/>
          <w:sz w:val="22"/>
        </w:rPr>
        <w:t xml:space="preserve">, in particular </w:t>
      </w:r>
      <w:r w:rsidR="007528A7">
        <w:rPr>
          <w:rFonts w:asciiTheme="minorHAnsi" w:hAnsiTheme="minorHAnsi" w:cstheme="minorHAnsi"/>
          <w:noProof/>
          <w:sz w:val="22"/>
        </w:rPr>
        <w:t>those</w:t>
      </w:r>
      <w:r>
        <w:rPr>
          <w:rFonts w:asciiTheme="minorHAnsi" w:hAnsiTheme="minorHAnsi" w:cstheme="minorHAnsi"/>
          <w:noProof/>
          <w:sz w:val="22"/>
        </w:rPr>
        <w:t xml:space="preserve"> related to Risk Managemen</w:t>
      </w:r>
      <w:r w:rsidR="00E577E5">
        <w:rPr>
          <w:rFonts w:asciiTheme="minorHAnsi" w:hAnsiTheme="minorHAnsi" w:cstheme="minorHAnsi"/>
          <w:noProof/>
          <w:sz w:val="22"/>
        </w:rPr>
        <w:t>t</w:t>
      </w:r>
      <w:r>
        <w:rPr>
          <w:rFonts w:asciiTheme="minorHAnsi" w:hAnsiTheme="minorHAnsi" w:cstheme="minorHAnsi"/>
          <w:noProof/>
          <w:sz w:val="22"/>
        </w:rPr>
        <w:t xml:space="preserve">. However, regarding the ones that are public, we are working closely with other stakeholders in making </w:t>
      </w:r>
      <w:r w:rsidR="007528A7">
        <w:rPr>
          <w:rFonts w:asciiTheme="minorHAnsi" w:hAnsiTheme="minorHAnsi" w:cstheme="minorHAnsi"/>
          <w:noProof/>
          <w:sz w:val="22"/>
        </w:rPr>
        <w:t>them</w:t>
      </w:r>
      <w:r>
        <w:rPr>
          <w:rFonts w:asciiTheme="minorHAnsi" w:hAnsiTheme="minorHAnsi" w:cstheme="minorHAnsi"/>
          <w:noProof/>
          <w:sz w:val="22"/>
        </w:rPr>
        <w:t xml:space="preserve"> more widely available, including to the private sector, such as </w:t>
      </w:r>
      <w:r w:rsidR="00FD6433">
        <w:rPr>
          <w:rFonts w:asciiTheme="minorHAnsi" w:hAnsiTheme="minorHAnsi" w:cstheme="minorHAnsi"/>
          <w:noProof/>
          <w:sz w:val="22"/>
        </w:rPr>
        <w:t>through the</w:t>
      </w:r>
      <w:r>
        <w:rPr>
          <w:rFonts w:asciiTheme="minorHAnsi" w:hAnsiTheme="minorHAnsi" w:cstheme="minorHAnsi"/>
          <w:noProof/>
          <w:sz w:val="22"/>
        </w:rPr>
        <w:t xml:space="preserve"> Global T</w:t>
      </w:r>
      <w:r w:rsidR="003C6548">
        <w:rPr>
          <w:rFonts w:asciiTheme="minorHAnsi" w:hAnsiTheme="minorHAnsi" w:cstheme="minorHAnsi"/>
          <w:noProof/>
          <w:sz w:val="22"/>
        </w:rPr>
        <w:t>r</w:t>
      </w:r>
      <w:r>
        <w:rPr>
          <w:rFonts w:asciiTheme="minorHAnsi" w:hAnsiTheme="minorHAnsi" w:cstheme="minorHAnsi"/>
          <w:noProof/>
          <w:sz w:val="22"/>
        </w:rPr>
        <w:t>ade H</w:t>
      </w:r>
      <w:r w:rsidR="00FD6433">
        <w:rPr>
          <w:rFonts w:asciiTheme="minorHAnsi" w:hAnsiTheme="minorHAnsi" w:cstheme="minorHAnsi"/>
          <w:noProof/>
          <w:sz w:val="22"/>
        </w:rPr>
        <w:t xml:space="preserve">elpdesk (GTH). The GTH was launched </w:t>
      </w:r>
      <w:r w:rsidR="00FD6433" w:rsidRPr="00FD6433">
        <w:rPr>
          <w:rFonts w:asciiTheme="minorHAnsi" w:hAnsiTheme="minorHAnsi" w:cstheme="minorHAnsi"/>
          <w:noProof/>
          <w:sz w:val="22"/>
        </w:rPr>
        <w:t>in 2017</w:t>
      </w:r>
      <w:r w:rsidR="00FD6433">
        <w:rPr>
          <w:rFonts w:asciiTheme="minorHAnsi" w:hAnsiTheme="minorHAnsi" w:cstheme="minorHAnsi"/>
          <w:noProof/>
          <w:sz w:val="22"/>
        </w:rPr>
        <w:t xml:space="preserve"> by the ITC, UNCTAD and the WTO. The WCO is intensifying its contribution to this initiative with</w:t>
      </w:r>
      <w:r w:rsidR="003C6548">
        <w:rPr>
          <w:rFonts w:asciiTheme="minorHAnsi" w:hAnsiTheme="minorHAnsi" w:cstheme="minorHAnsi"/>
          <w:noProof/>
          <w:sz w:val="22"/>
        </w:rPr>
        <w:t xml:space="preserve"> inclusion of the E-Commerce Package, WCO Guidelines on Disaster Managemant and Supply Chain Continuity and IPR</w:t>
      </w:r>
      <w:r w:rsidR="00FD6433">
        <w:rPr>
          <w:rFonts w:asciiTheme="minorHAnsi" w:hAnsiTheme="minorHAnsi" w:cstheme="minorHAnsi"/>
          <w:noProof/>
          <w:sz w:val="22"/>
        </w:rPr>
        <w:t xml:space="preserve">. </w:t>
      </w:r>
    </w:p>
    <w:p w14:paraId="768E031D" w14:textId="5758CE1D" w:rsidR="00FD6433" w:rsidRDefault="00FD6433" w:rsidP="00022158">
      <w:pPr>
        <w:spacing w:before="120" w:after="120"/>
        <w:jc w:val="left"/>
        <w:rPr>
          <w:rFonts w:asciiTheme="minorHAnsi" w:hAnsiTheme="minorHAnsi" w:cstheme="minorHAnsi"/>
          <w:noProof/>
          <w:sz w:val="22"/>
        </w:rPr>
      </w:pPr>
      <w:r>
        <w:rPr>
          <w:rFonts w:asciiTheme="minorHAnsi" w:hAnsiTheme="minorHAnsi" w:cstheme="minorHAnsi"/>
          <w:noProof/>
          <w:sz w:val="22"/>
        </w:rPr>
        <w:t>In terms of the different events of relevance for supporting TFA implementation, since April we have had numerouse events.</w:t>
      </w:r>
    </w:p>
    <w:p w14:paraId="5C0D4057" w14:textId="08DE9636" w:rsidR="00FD6433" w:rsidRPr="00FD6433" w:rsidRDefault="00FD6433" w:rsidP="00022158">
      <w:pPr>
        <w:spacing w:before="120" w:after="120"/>
        <w:jc w:val="left"/>
        <w:rPr>
          <w:rFonts w:asciiTheme="minorHAnsi" w:hAnsiTheme="minorHAnsi" w:cstheme="minorHAnsi"/>
          <w:noProof/>
          <w:sz w:val="22"/>
        </w:rPr>
      </w:pPr>
      <w:r>
        <w:rPr>
          <w:rFonts w:asciiTheme="minorHAnsi" w:hAnsiTheme="minorHAnsi" w:cstheme="minorHAnsi"/>
          <w:noProof/>
          <w:sz w:val="22"/>
        </w:rPr>
        <w:t>In May we held together with the United Arab Emirates the 5</w:t>
      </w:r>
      <w:r w:rsidRPr="00FD6433">
        <w:rPr>
          <w:rFonts w:asciiTheme="minorHAnsi" w:hAnsiTheme="minorHAnsi" w:cstheme="minorHAnsi"/>
          <w:noProof/>
          <w:sz w:val="22"/>
          <w:vertAlign w:val="superscript"/>
        </w:rPr>
        <w:t>th</w:t>
      </w:r>
      <w:r>
        <w:rPr>
          <w:rFonts w:asciiTheme="minorHAnsi" w:hAnsiTheme="minorHAnsi" w:cstheme="minorHAnsi"/>
          <w:noProof/>
          <w:sz w:val="22"/>
        </w:rPr>
        <w:t xml:space="preserve"> Global AEO Conference </w:t>
      </w:r>
      <w:r w:rsidR="000B172F">
        <w:rPr>
          <w:rFonts w:asciiTheme="minorHAnsi" w:hAnsiTheme="minorHAnsi" w:cstheme="minorHAnsi"/>
          <w:noProof/>
          <w:sz w:val="22"/>
        </w:rPr>
        <w:t xml:space="preserve">online, </w:t>
      </w:r>
      <w:r>
        <w:rPr>
          <w:rFonts w:asciiTheme="minorHAnsi" w:hAnsiTheme="minorHAnsi" w:cstheme="minorHAnsi"/>
          <w:noProof/>
          <w:sz w:val="22"/>
        </w:rPr>
        <w:t>which attracted almost 4000 p</w:t>
      </w:r>
      <w:r w:rsidR="00B50985">
        <w:rPr>
          <w:rFonts w:asciiTheme="minorHAnsi" w:hAnsiTheme="minorHAnsi" w:cstheme="minorHAnsi"/>
          <w:noProof/>
          <w:sz w:val="22"/>
        </w:rPr>
        <w:t xml:space="preserve">articipants from 158 countries and with 80 prominent speakers. The Conference discussed the </w:t>
      </w:r>
      <w:r w:rsidRPr="00FD6433">
        <w:rPr>
          <w:rFonts w:asciiTheme="minorHAnsi" w:hAnsiTheme="minorHAnsi" w:cstheme="minorHAnsi"/>
          <w:noProof/>
          <w:sz w:val="22"/>
        </w:rPr>
        <w:t xml:space="preserve">importance of Authorized Economic Operator (AEO) programmes and helping </w:t>
      </w:r>
      <w:r w:rsidR="00B50985">
        <w:rPr>
          <w:rFonts w:asciiTheme="minorHAnsi" w:hAnsiTheme="minorHAnsi" w:cstheme="minorHAnsi"/>
          <w:noProof/>
          <w:sz w:val="22"/>
        </w:rPr>
        <w:t>to shape the vision of AEO 2.0. It also looked into the</w:t>
      </w:r>
      <w:r w:rsidRPr="00FD6433">
        <w:rPr>
          <w:rFonts w:asciiTheme="minorHAnsi" w:hAnsiTheme="minorHAnsi" w:cstheme="minorHAnsi"/>
          <w:noProof/>
          <w:sz w:val="22"/>
        </w:rPr>
        <w:t xml:space="preserve"> main challenges with current AEO programmes </w:t>
      </w:r>
      <w:r w:rsidR="00B50985">
        <w:rPr>
          <w:rFonts w:asciiTheme="minorHAnsi" w:hAnsiTheme="minorHAnsi" w:cstheme="minorHAnsi"/>
          <w:noProof/>
          <w:sz w:val="22"/>
        </w:rPr>
        <w:t>and the need to</w:t>
      </w:r>
      <w:r w:rsidRPr="00FD6433">
        <w:rPr>
          <w:rFonts w:asciiTheme="minorHAnsi" w:hAnsiTheme="minorHAnsi" w:cstheme="minorHAnsi"/>
          <w:noProof/>
          <w:sz w:val="22"/>
        </w:rPr>
        <w:t xml:space="preserve"> harmonize AEO application, validation and authorization processes through increased use of technology.</w:t>
      </w:r>
    </w:p>
    <w:p w14:paraId="01FED104" w14:textId="6199FFE6" w:rsidR="00103FB0" w:rsidRPr="00B053F6" w:rsidRDefault="002E51F6" w:rsidP="00022158">
      <w:pPr>
        <w:spacing w:before="120" w:after="120"/>
        <w:jc w:val="left"/>
        <w:rPr>
          <w:rFonts w:asciiTheme="minorHAnsi" w:hAnsiTheme="minorHAnsi" w:cstheme="minorHAnsi"/>
          <w:noProof/>
          <w:sz w:val="22"/>
          <w:lang w:val="en-US"/>
        </w:rPr>
      </w:pPr>
      <w:r w:rsidRPr="00B053F6">
        <w:rPr>
          <w:rFonts w:asciiTheme="minorHAnsi" w:hAnsiTheme="minorHAnsi" w:cstheme="minorHAnsi"/>
          <w:noProof/>
          <w:sz w:val="22"/>
          <w:lang w:val="en-US"/>
        </w:rPr>
        <w:t xml:space="preserve">Right after the Council sessions </w:t>
      </w:r>
      <w:r w:rsidR="00094D63">
        <w:rPr>
          <w:rFonts w:asciiTheme="minorHAnsi" w:hAnsiTheme="minorHAnsi" w:cstheme="minorHAnsi"/>
          <w:noProof/>
          <w:sz w:val="22"/>
          <w:lang w:val="en-US"/>
        </w:rPr>
        <w:t xml:space="preserve">in June, </w:t>
      </w:r>
      <w:r w:rsidRPr="00B053F6">
        <w:rPr>
          <w:rFonts w:asciiTheme="minorHAnsi" w:hAnsiTheme="minorHAnsi" w:cstheme="minorHAnsi"/>
          <w:noProof/>
          <w:sz w:val="22"/>
          <w:lang w:val="en-US"/>
        </w:rPr>
        <w:t xml:space="preserve">we also held the WCO Knowledge Academy for Customs and Trade which is held annually and covers numerous </w:t>
      </w:r>
      <w:r w:rsidR="00112DEA">
        <w:rPr>
          <w:rFonts w:asciiTheme="minorHAnsi" w:hAnsiTheme="minorHAnsi" w:cstheme="minorHAnsi"/>
          <w:noProof/>
          <w:sz w:val="22"/>
          <w:lang w:val="en-US"/>
        </w:rPr>
        <w:t xml:space="preserve">Customs </w:t>
      </w:r>
      <w:r w:rsidRPr="00B053F6">
        <w:rPr>
          <w:rFonts w:asciiTheme="minorHAnsi" w:hAnsiTheme="minorHAnsi" w:cstheme="minorHAnsi"/>
          <w:noProof/>
          <w:sz w:val="22"/>
          <w:lang w:val="en-US"/>
        </w:rPr>
        <w:t xml:space="preserve">topics. Bearing in mind the  continuous interest of the Customs and Trade community in the TFA, we have added a session on this topic as well. I would like to thank the </w:t>
      </w:r>
      <w:r w:rsidR="00103FB0" w:rsidRPr="00B053F6">
        <w:rPr>
          <w:rFonts w:asciiTheme="minorHAnsi" w:hAnsiTheme="minorHAnsi" w:cstheme="minorHAnsi"/>
          <w:noProof/>
          <w:sz w:val="22"/>
          <w:lang w:val="en-US"/>
        </w:rPr>
        <w:t xml:space="preserve">WTO Secretariat for providing a speaker for this session to </w:t>
      </w:r>
      <w:r w:rsidR="00135ECA" w:rsidRPr="00B053F6">
        <w:rPr>
          <w:rFonts w:asciiTheme="minorHAnsi" w:hAnsiTheme="minorHAnsi" w:cstheme="minorHAnsi"/>
          <w:noProof/>
          <w:sz w:val="22"/>
          <w:lang w:val="en-US"/>
        </w:rPr>
        <w:t>share</w:t>
      </w:r>
      <w:r w:rsidR="00103FB0" w:rsidRPr="00B053F6">
        <w:rPr>
          <w:rFonts w:asciiTheme="minorHAnsi" w:hAnsiTheme="minorHAnsi" w:cstheme="minorHAnsi"/>
          <w:noProof/>
          <w:sz w:val="22"/>
          <w:lang w:val="en-US"/>
        </w:rPr>
        <w:t xml:space="preserve"> an update on the state of play regarding the TFA.</w:t>
      </w:r>
    </w:p>
    <w:p w14:paraId="6686D76D" w14:textId="0B79D3B7" w:rsidR="00E647B6" w:rsidRDefault="00103FB0" w:rsidP="00022158">
      <w:pPr>
        <w:spacing w:before="120" w:after="120"/>
        <w:jc w:val="left"/>
        <w:rPr>
          <w:rFonts w:asciiTheme="minorHAnsi" w:hAnsiTheme="minorHAnsi" w:cstheme="minorHAnsi"/>
          <w:noProof/>
          <w:sz w:val="22"/>
          <w:lang w:val="en-US"/>
        </w:rPr>
      </w:pPr>
      <w:r w:rsidRPr="00B053F6">
        <w:rPr>
          <w:rFonts w:asciiTheme="minorHAnsi" w:hAnsiTheme="minorHAnsi" w:cstheme="minorHAnsi"/>
          <w:noProof/>
          <w:sz w:val="22"/>
          <w:lang w:val="en-US"/>
        </w:rPr>
        <w:t xml:space="preserve">As mentioned in the report, we have started a third round of WCO’s regional workshops on the TFA. </w:t>
      </w:r>
      <w:r w:rsidR="000F4372" w:rsidRPr="00B053F6">
        <w:rPr>
          <w:rFonts w:asciiTheme="minorHAnsi" w:hAnsiTheme="minorHAnsi" w:cstheme="minorHAnsi"/>
          <w:noProof/>
          <w:sz w:val="22"/>
          <w:lang w:val="en-US"/>
        </w:rPr>
        <w:t>We have kicked-off the round</w:t>
      </w:r>
      <w:r w:rsidRPr="00B053F6">
        <w:rPr>
          <w:rFonts w:asciiTheme="minorHAnsi" w:hAnsiTheme="minorHAnsi" w:cstheme="minorHAnsi"/>
          <w:noProof/>
          <w:sz w:val="22"/>
          <w:lang w:val="en-US"/>
        </w:rPr>
        <w:t xml:space="preserve"> with the Asia-Pacific region in </w:t>
      </w:r>
      <w:r w:rsidR="00D93681">
        <w:rPr>
          <w:rFonts w:asciiTheme="minorHAnsi" w:hAnsiTheme="minorHAnsi" w:cstheme="minorHAnsi"/>
          <w:noProof/>
          <w:sz w:val="22"/>
          <w:lang w:val="en-US"/>
        </w:rPr>
        <w:t>April</w:t>
      </w:r>
      <w:r w:rsidR="000F4372" w:rsidRPr="00B053F6">
        <w:rPr>
          <w:rFonts w:asciiTheme="minorHAnsi" w:hAnsiTheme="minorHAnsi" w:cstheme="minorHAnsi"/>
          <w:noProof/>
          <w:sz w:val="22"/>
          <w:lang w:val="en-US"/>
        </w:rPr>
        <w:t>. T</w:t>
      </w:r>
      <w:r w:rsidRPr="00B053F6">
        <w:rPr>
          <w:rFonts w:asciiTheme="minorHAnsi" w:hAnsiTheme="minorHAnsi" w:cstheme="minorHAnsi"/>
          <w:noProof/>
          <w:sz w:val="22"/>
          <w:lang w:val="en-US"/>
        </w:rPr>
        <w:t>he next</w:t>
      </w:r>
      <w:r w:rsidR="000F4372" w:rsidRPr="00B053F6">
        <w:rPr>
          <w:rFonts w:asciiTheme="minorHAnsi" w:hAnsiTheme="minorHAnsi" w:cstheme="minorHAnsi"/>
          <w:noProof/>
          <w:sz w:val="22"/>
          <w:lang w:val="en-US"/>
        </w:rPr>
        <w:t xml:space="preserve"> one will </w:t>
      </w:r>
      <w:r w:rsidRPr="00B053F6">
        <w:rPr>
          <w:rFonts w:asciiTheme="minorHAnsi" w:hAnsiTheme="minorHAnsi" w:cstheme="minorHAnsi"/>
          <w:noProof/>
          <w:sz w:val="22"/>
          <w:lang w:val="en-US"/>
        </w:rPr>
        <w:t xml:space="preserve">be held </w:t>
      </w:r>
      <w:r w:rsidR="000F4372" w:rsidRPr="00B053F6">
        <w:rPr>
          <w:rFonts w:asciiTheme="minorHAnsi" w:hAnsiTheme="minorHAnsi" w:cstheme="minorHAnsi"/>
          <w:noProof/>
          <w:sz w:val="22"/>
          <w:lang w:val="en-US"/>
        </w:rPr>
        <w:t xml:space="preserve">jointly for the </w:t>
      </w:r>
      <w:r w:rsidRPr="00B053F6">
        <w:rPr>
          <w:rFonts w:asciiTheme="minorHAnsi" w:hAnsiTheme="minorHAnsi" w:cstheme="minorHAnsi"/>
          <w:noProof/>
          <w:sz w:val="22"/>
          <w:lang w:val="en-US"/>
        </w:rPr>
        <w:t xml:space="preserve">two African regions– </w:t>
      </w:r>
      <w:r w:rsidR="0074742E">
        <w:rPr>
          <w:rFonts w:asciiTheme="minorHAnsi" w:hAnsiTheme="minorHAnsi" w:cstheme="minorHAnsi"/>
          <w:noProof/>
          <w:sz w:val="22"/>
          <w:lang w:val="en-US"/>
        </w:rPr>
        <w:t>for</w:t>
      </w:r>
      <w:r w:rsidRPr="00B053F6">
        <w:rPr>
          <w:rFonts w:asciiTheme="minorHAnsi" w:hAnsiTheme="minorHAnsi" w:cstheme="minorHAnsi"/>
          <w:noProof/>
          <w:sz w:val="22"/>
          <w:lang w:val="en-US"/>
        </w:rPr>
        <w:t xml:space="preserve"> </w:t>
      </w:r>
      <w:r w:rsidR="000F4372" w:rsidRPr="00B053F6">
        <w:rPr>
          <w:rFonts w:asciiTheme="minorHAnsi" w:hAnsiTheme="minorHAnsi" w:cstheme="minorHAnsi"/>
          <w:noProof/>
          <w:sz w:val="22"/>
          <w:lang w:val="en-US"/>
        </w:rPr>
        <w:t xml:space="preserve">East and Southern Africa </w:t>
      </w:r>
      <w:r w:rsidRPr="00B053F6">
        <w:rPr>
          <w:rFonts w:asciiTheme="minorHAnsi" w:hAnsiTheme="minorHAnsi" w:cstheme="minorHAnsi"/>
          <w:noProof/>
          <w:sz w:val="22"/>
          <w:lang w:val="en-US"/>
        </w:rPr>
        <w:t xml:space="preserve">and </w:t>
      </w:r>
      <w:r w:rsidR="000F4372" w:rsidRPr="00B053F6">
        <w:rPr>
          <w:rFonts w:asciiTheme="minorHAnsi" w:hAnsiTheme="minorHAnsi" w:cstheme="minorHAnsi"/>
          <w:noProof/>
          <w:sz w:val="22"/>
          <w:lang w:val="en-US"/>
        </w:rPr>
        <w:t>for</w:t>
      </w:r>
      <w:r w:rsidRPr="00B053F6">
        <w:rPr>
          <w:rFonts w:asciiTheme="minorHAnsi" w:hAnsiTheme="minorHAnsi" w:cstheme="minorHAnsi"/>
          <w:noProof/>
          <w:sz w:val="22"/>
          <w:lang w:val="en-US"/>
        </w:rPr>
        <w:t xml:space="preserve"> West and Central Africa. This webinar is scheduled for 1 to 3 December. We will continue the series of TFA workshops with the one for the Americas and Carribean region planned for end of March next year.</w:t>
      </w:r>
      <w:r w:rsidR="00145D80">
        <w:rPr>
          <w:rFonts w:asciiTheme="minorHAnsi" w:hAnsiTheme="minorHAnsi" w:cstheme="minorHAnsi"/>
          <w:noProof/>
          <w:sz w:val="22"/>
          <w:lang w:val="en-US"/>
        </w:rPr>
        <w:t xml:space="preserve"> </w:t>
      </w:r>
    </w:p>
    <w:p w14:paraId="026BB502" w14:textId="7FCE2835" w:rsidR="00E65DB7" w:rsidRPr="00022158" w:rsidRDefault="00145D80" w:rsidP="00022158">
      <w:pPr>
        <w:spacing w:before="120" w:after="120"/>
        <w:jc w:val="left"/>
        <w:rPr>
          <w:rFonts w:asciiTheme="minorHAnsi" w:hAnsiTheme="minorHAnsi" w:cstheme="minorHAnsi"/>
          <w:noProof/>
          <w:sz w:val="22"/>
          <w:lang w:val="en-US"/>
        </w:rPr>
      </w:pPr>
      <w:r>
        <w:rPr>
          <w:rFonts w:asciiTheme="minorHAnsi" w:hAnsiTheme="minorHAnsi" w:cstheme="minorHAnsi"/>
          <w:noProof/>
          <w:sz w:val="22"/>
          <w:lang w:val="en-US"/>
        </w:rPr>
        <w:t xml:space="preserve">These workshops are focusing on a number of different </w:t>
      </w:r>
      <w:r w:rsidR="0074742E">
        <w:rPr>
          <w:rFonts w:asciiTheme="minorHAnsi" w:hAnsiTheme="minorHAnsi" w:cstheme="minorHAnsi"/>
          <w:noProof/>
          <w:sz w:val="22"/>
          <w:lang w:val="en-US"/>
        </w:rPr>
        <w:t>areas</w:t>
      </w:r>
      <w:r>
        <w:rPr>
          <w:rFonts w:asciiTheme="minorHAnsi" w:hAnsiTheme="minorHAnsi" w:cstheme="minorHAnsi"/>
          <w:noProof/>
          <w:sz w:val="22"/>
          <w:lang w:val="en-US"/>
        </w:rPr>
        <w:t xml:space="preserve">, such as measures to facilitate goods during the COVID-19 pandemic, as well as </w:t>
      </w:r>
      <w:r w:rsidR="00E647B6">
        <w:rPr>
          <w:rFonts w:asciiTheme="minorHAnsi" w:hAnsiTheme="minorHAnsi" w:cstheme="minorHAnsi"/>
          <w:noProof/>
          <w:sz w:val="22"/>
          <w:lang w:val="en-US"/>
        </w:rPr>
        <w:t>the effects</w:t>
      </w:r>
      <w:r>
        <w:rPr>
          <w:rFonts w:asciiTheme="minorHAnsi" w:hAnsiTheme="minorHAnsi" w:cstheme="minorHAnsi"/>
          <w:noProof/>
          <w:sz w:val="22"/>
          <w:lang w:val="en-US"/>
        </w:rPr>
        <w:t xml:space="preserve"> of the pandemic on trade facilitation. The workshops further </w:t>
      </w:r>
      <w:r w:rsidR="00E647B6">
        <w:rPr>
          <w:rFonts w:asciiTheme="minorHAnsi" w:hAnsiTheme="minorHAnsi" w:cstheme="minorHAnsi"/>
          <w:noProof/>
          <w:sz w:val="22"/>
          <w:lang w:val="en-US"/>
        </w:rPr>
        <w:t>explore t</w:t>
      </w:r>
      <w:r>
        <w:rPr>
          <w:rFonts w:asciiTheme="minorHAnsi" w:hAnsiTheme="minorHAnsi" w:cstheme="minorHAnsi"/>
          <w:noProof/>
          <w:sz w:val="22"/>
          <w:lang w:val="en-US"/>
        </w:rPr>
        <w:t>he role of technologies, coope</w:t>
      </w:r>
      <w:r w:rsidR="00E647B6">
        <w:rPr>
          <w:rFonts w:asciiTheme="minorHAnsi" w:hAnsiTheme="minorHAnsi" w:cstheme="minorHAnsi"/>
          <w:noProof/>
          <w:sz w:val="22"/>
          <w:lang w:val="en-US"/>
        </w:rPr>
        <w:t>ration with the private sector and cooperation amongst government agencies</w:t>
      </w:r>
      <w:r w:rsidR="00A90B12">
        <w:rPr>
          <w:rFonts w:asciiTheme="minorHAnsi" w:hAnsiTheme="minorHAnsi" w:cstheme="minorHAnsi"/>
          <w:noProof/>
          <w:sz w:val="22"/>
          <w:lang w:val="en-US"/>
        </w:rPr>
        <w:t xml:space="preserve"> for successful imple</w:t>
      </w:r>
      <w:r w:rsidR="003C6548">
        <w:rPr>
          <w:rFonts w:asciiTheme="minorHAnsi" w:hAnsiTheme="minorHAnsi" w:cstheme="minorHAnsi"/>
          <w:noProof/>
          <w:sz w:val="22"/>
          <w:lang w:val="en-US"/>
        </w:rPr>
        <w:t>men</w:t>
      </w:r>
      <w:r w:rsidR="00A90B12">
        <w:rPr>
          <w:rFonts w:asciiTheme="minorHAnsi" w:hAnsiTheme="minorHAnsi" w:cstheme="minorHAnsi"/>
          <w:noProof/>
          <w:sz w:val="22"/>
          <w:lang w:val="en-US"/>
        </w:rPr>
        <w:t>tation of the Agreement</w:t>
      </w:r>
      <w:r w:rsidR="00E647B6">
        <w:rPr>
          <w:rFonts w:asciiTheme="minorHAnsi" w:hAnsiTheme="minorHAnsi" w:cstheme="minorHAnsi"/>
          <w:noProof/>
          <w:sz w:val="22"/>
          <w:lang w:val="en-US"/>
        </w:rPr>
        <w:t xml:space="preserve">. </w:t>
      </w:r>
      <w:r w:rsidR="00C76B1E">
        <w:rPr>
          <w:rFonts w:asciiTheme="minorHAnsi" w:hAnsiTheme="minorHAnsi" w:cstheme="minorHAnsi"/>
          <w:noProof/>
          <w:sz w:val="22"/>
          <w:lang w:val="en-US"/>
        </w:rPr>
        <w:t>T</w:t>
      </w:r>
      <w:r w:rsidR="00E647B6">
        <w:rPr>
          <w:rFonts w:asciiTheme="minorHAnsi" w:hAnsiTheme="minorHAnsi" w:cstheme="minorHAnsi"/>
          <w:noProof/>
          <w:sz w:val="22"/>
          <w:lang w:val="en-US"/>
        </w:rPr>
        <w:t xml:space="preserve">he delegates </w:t>
      </w:r>
      <w:r w:rsidR="003C6548">
        <w:rPr>
          <w:rFonts w:asciiTheme="minorHAnsi" w:hAnsiTheme="minorHAnsi" w:cstheme="minorHAnsi"/>
          <w:noProof/>
          <w:sz w:val="22"/>
          <w:lang w:val="en-US"/>
        </w:rPr>
        <w:t xml:space="preserve">also </w:t>
      </w:r>
      <w:r w:rsidR="00E647B6">
        <w:rPr>
          <w:rFonts w:asciiTheme="minorHAnsi" w:hAnsiTheme="minorHAnsi" w:cstheme="minorHAnsi"/>
          <w:noProof/>
          <w:sz w:val="22"/>
          <w:lang w:val="en-US"/>
        </w:rPr>
        <w:t xml:space="preserve">share their experiences on the functioning of national committees and </w:t>
      </w:r>
      <w:r w:rsidR="00A90B12">
        <w:rPr>
          <w:rFonts w:asciiTheme="minorHAnsi" w:hAnsiTheme="minorHAnsi" w:cstheme="minorHAnsi"/>
          <w:noProof/>
          <w:sz w:val="22"/>
          <w:lang w:val="en-US"/>
        </w:rPr>
        <w:t xml:space="preserve">on the use of </w:t>
      </w:r>
      <w:r w:rsidR="00E647B6">
        <w:rPr>
          <w:rFonts w:asciiTheme="minorHAnsi" w:hAnsiTheme="minorHAnsi" w:cstheme="minorHAnsi"/>
          <w:noProof/>
          <w:sz w:val="22"/>
          <w:lang w:val="en-US"/>
        </w:rPr>
        <w:t>tools for monitoring TFA implementation</w:t>
      </w:r>
      <w:r w:rsidR="00A90B12">
        <w:rPr>
          <w:rFonts w:asciiTheme="minorHAnsi" w:hAnsiTheme="minorHAnsi" w:cstheme="minorHAnsi"/>
          <w:noProof/>
          <w:sz w:val="22"/>
          <w:lang w:val="en-US"/>
        </w:rPr>
        <w:t xml:space="preserve">, including the Time Release Study and the </w:t>
      </w:r>
      <w:r w:rsidR="0015591A">
        <w:rPr>
          <w:rFonts w:asciiTheme="minorHAnsi" w:hAnsiTheme="minorHAnsi" w:cstheme="minorHAnsi"/>
          <w:noProof/>
          <w:sz w:val="22"/>
          <w:lang w:val="en-US"/>
        </w:rPr>
        <w:t xml:space="preserve">Mercator TFA </w:t>
      </w:r>
      <w:r w:rsidR="00A90B12">
        <w:rPr>
          <w:rFonts w:asciiTheme="minorHAnsi" w:hAnsiTheme="minorHAnsi" w:cstheme="minorHAnsi"/>
          <w:noProof/>
          <w:sz w:val="22"/>
          <w:lang w:val="en-US"/>
        </w:rPr>
        <w:t>Maturity Model</w:t>
      </w:r>
      <w:r w:rsidR="00E647B6">
        <w:rPr>
          <w:rFonts w:asciiTheme="minorHAnsi" w:hAnsiTheme="minorHAnsi" w:cstheme="minorHAnsi"/>
          <w:noProof/>
          <w:sz w:val="22"/>
          <w:lang w:val="en-US"/>
        </w:rPr>
        <w:t xml:space="preserve">. </w:t>
      </w:r>
      <w:r w:rsidR="00A90B12">
        <w:rPr>
          <w:rFonts w:asciiTheme="minorHAnsi" w:hAnsiTheme="minorHAnsi" w:cstheme="minorHAnsi"/>
          <w:noProof/>
          <w:sz w:val="22"/>
          <w:lang w:val="en-US"/>
        </w:rPr>
        <w:t>Lastly, the delegates discuss the particu</w:t>
      </w:r>
      <w:r w:rsidR="0015591A">
        <w:rPr>
          <w:rFonts w:asciiTheme="minorHAnsi" w:hAnsiTheme="minorHAnsi" w:cstheme="minorHAnsi"/>
          <w:noProof/>
          <w:sz w:val="22"/>
          <w:lang w:val="en-US"/>
        </w:rPr>
        <w:t>lar challenges faced in the their respective regions.</w:t>
      </w:r>
      <w:r w:rsidR="00FF4854">
        <w:rPr>
          <w:rFonts w:asciiTheme="minorHAnsi" w:hAnsiTheme="minorHAnsi" w:cstheme="minorHAnsi"/>
          <w:noProof/>
          <w:sz w:val="22"/>
          <w:lang w:val="en-US"/>
        </w:rPr>
        <w:t xml:space="preserve"> </w:t>
      </w:r>
      <w:r w:rsidR="00FF4854" w:rsidRPr="00FF4854">
        <w:rPr>
          <w:rFonts w:asciiTheme="minorHAnsi" w:hAnsiTheme="minorHAnsi" w:cstheme="minorHAnsi"/>
          <w:noProof/>
          <w:sz w:val="22"/>
          <w:lang w:val="en-US"/>
        </w:rPr>
        <w:t xml:space="preserve">I would like to thank </w:t>
      </w:r>
      <w:r w:rsidR="00FF4854">
        <w:rPr>
          <w:rFonts w:asciiTheme="minorHAnsi" w:hAnsiTheme="minorHAnsi" w:cstheme="minorHAnsi"/>
          <w:noProof/>
          <w:sz w:val="22"/>
          <w:lang w:val="en-US"/>
        </w:rPr>
        <w:t xml:space="preserve">again </w:t>
      </w:r>
      <w:r w:rsidR="00FF4854" w:rsidRPr="00FF4854">
        <w:rPr>
          <w:rFonts w:asciiTheme="minorHAnsi" w:hAnsiTheme="minorHAnsi" w:cstheme="minorHAnsi"/>
          <w:noProof/>
          <w:sz w:val="22"/>
          <w:lang w:val="en-US"/>
        </w:rPr>
        <w:t xml:space="preserve">the WTO Secretariat for </w:t>
      </w:r>
      <w:r w:rsidR="00FF4854">
        <w:rPr>
          <w:rFonts w:asciiTheme="minorHAnsi" w:hAnsiTheme="minorHAnsi" w:cstheme="minorHAnsi"/>
          <w:noProof/>
          <w:sz w:val="22"/>
          <w:lang w:val="en-US"/>
        </w:rPr>
        <w:t xml:space="preserve">joining these workshops </w:t>
      </w:r>
      <w:r w:rsidR="00FF4854" w:rsidRPr="00FF4854">
        <w:rPr>
          <w:rFonts w:asciiTheme="minorHAnsi" w:hAnsiTheme="minorHAnsi" w:cstheme="minorHAnsi"/>
          <w:noProof/>
          <w:sz w:val="22"/>
          <w:lang w:val="en-US"/>
        </w:rPr>
        <w:t>to share an update on the state of play regarding the TFA.</w:t>
      </w:r>
      <w:bookmarkStart w:id="0" w:name="_Toc53733234"/>
      <w:bookmarkStart w:id="1" w:name="_Toc53733394"/>
      <w:bookmarkStart w:id="2" w:name="_Toc69477553"/>
      <w:bookmarkStart w:id="3" w:name="_Toc69479126"/>
    </w:p>
    <w:p w14:paraId="0F38CBFD" w14:textId="215FD15D" w:rsidR="004F49E6" w:rsidRDefault="00ED3881" w:rsidP="00022158">
      <w:pPr>
        <w:pStyle w:val="BodyText"/>
        <w:numPr>
          <w:ilvl w:val="0"/>
          <w:numId w:val="0"/>
        </w:numPr>
        <w:spacing w:before="120" w:after="120"/>
        <w:rPr>
          <w:rFonts w:asciiTheme="minorHAnsi" w:hAnsiTheme="minorHAnsi" w:cstheme="minorHAnsi"/>
          <w:sz w:val="22"/>
        </w:rPr>
      </w:pPr>
      <w:r>
        <w:rPr>
          <w:rFonts w:asciiTheme="minorHAnsi" w:hAnsiTheme="minorHAnsi" w:cstheme="minorHAnsi"/>
          <w:sz w:val="22"/>
        </w:rPr>
        <w:t xml:space="preserve">I would </w:t>
      </w:r>
      <w:r w:rsidR="007528A7">
        <w:rPr>
          <w:rFonts w:asciiTheme="minorHAnsi" w:hAnsiTheme="minorHAnsi" w:cstheme="minorHAnsi"/>
          <w:sz w:val="22"/>
        </w:rPr>
        <w:t>also like</w:t>
      </w:r>
      <w:r>
        <w:rPr>
          <w:rFonts w:asciiTheme="minorHAnsi" w:hAnsiTheme="minorHAnsi" w:cstheme="minorHAnsi"/>
          <w:sz w:val="22"/>
        </w:rPr>
        <w:t xml:space="preserve"> to highlight a paper that was de</w:t>
      </w:r>
      <w:r w:rsidR="00B260BE">
        <w:rPr>
          <w:rFonts w:asciiTheme="minorHAnsi" w:hAnsiTheme="minorHAnsi" w:cstheme="minorHAnsi"/>
          <w:sz w:val="22"/>
        </w:rPr>
        <w:t>veloped jointly with the WTO on</w:t>
      </w:r>
      <w:r w:rsidR="00477BBF" w:rsidRPr="00B053F6">
        <w:rPr>
          <w:rFonts w:asciiTheme="minorHAnsi" w:hAnsiTheme="minorHAnsi" w:cstheme="minorHAnsi"/>
          <w:sz w:val="22"/>
        </w:rPr>
        <w:t xml:space="preserve"> “Customs Use of Advanced Technologies to Facilitate</w:t>
      </w:r>
      <w:r w:rsidR="00B260BE">
        <w:rPr>
          <w:rFonts w:asciiTheme="minorHAnsi" w:hAnsiTheme="minorHAnsi" w:cstheme="minorHAnsi"/>
          <w:sz w:val="22"/>
        </w:rPr>
        <w:t xml:space="preserve"> and Secure Cross-Border Trade”. It was developed using </w:t>
      </w:r>
      <w:r w:rsidR="00477BBF" w:rsidRPr="00B053F6">
        <w:rPr>
          <w:rFonts w:asciiTheme="minorHAnsi" w:hAnsiTheme="minorHAnsi" w:cstheme="minorHAnsi"/>
          <w:sz w:val="22"/>
        </w:rPr>
        <w:t xml:space="preserve">the results from the </w:t>
      </w:r>
      <w:r w:rsidR="004F482B" w:rsidRPr="00B053F6">
        <w:rPr>
          <w:rFonts w:asciiTheme="minorHAnsi" w:hAnsiTheme="minorHAnsi" w:cstheme="minorHAnsi"/>
          <w:sz w:val="22"/>
        </w:rPr>
        <w:t xml:space="preserve">WCO’s </w:t>
      </w:r>
      <w:r w:rsidR="00477BBF" w:rsidRPr="00B053F6">
        <w:rPr>
          <w:rFonts w:asciiTheme="minorHAnsi" w:hAnsiTheme="minorHAnsi" w:cstheme="minorHAnsi"/>
          <w:sz w:val="22"/>
        </w:rPr>
        <w:t xml:space="preserve">Annual Consolidated Survey. The paper </w:t>
      </w:r>
      <w:r w:rsidR="004F49E6" w:rsidRPr="00B053F6">
        <w:rPr>
          <w:rFonts w:asciiTheme="minorHAnsi" w:hAnsiTheme="minorHAnsi" w:cstheme="minorHAnsi"/>
          <w:sz w:val="22"/>
        </w:rPr>
        <w:t>provides insights on the implementati</w:t>
      </w:r>
      <w:r w:rsidR="00477BBF" w:rsidRPr="00B053F6">
        <w:rPr>
          <w:rFonts w:asciiTheme="minorHAnsi" w:hAnsiTheme="minorHAnsi" w:cstheme="minorHAnsi"/>
          <w:sz w:val="22"/>
        </w:rPr>
        <w:t xml:space="preserve">on state of play by Customs for </w:t>
      </w:r>
      <w:r w:rsidR="004F49E6" w:rsidRPr="00B053F6">
        <w:rPr>
          <w:rFonts w:asciiTheme="minorHAnsi" w:hAnsiTheme="minorHAnsi" w:cstheme="minorHAnsi"/>
          <w:sz w:val="22"/>
        </w:rPr>
        <w:t>the following three groups of technologies: 1. Blockchain/distributed ledger technolog</w:t>
      </w:r>
      <w:r w:rsidR="00477BBF" w:rsidRPr="00B053F6">
        <w:rPr>
          <w:rFonts w:asciiTheme="minorHAnsi" w:hAnsiTheme="minorHAnsi" w:cstheme="minorHAnsi"/>
          <w:sz w:val="22"/>
        </w:rPr>
        <w:t xml:space="preserve">y; 2. </w:t>
      </w:r>
      <w:r w:rsidR="004F49E6" w:rsidRPr="00B053F6">
        <w:rPr>
          <w:rFonts w:asciiTheme="minorHAnsi" w:hAnsiTheme="minorHAnsi" w:cstheme="minorHAnsi"/>
          <w:sz w:val="22"/>
        </w:rPr>
        <w:t xml:space="preserve">Internet of things; and 3. Big data, data analytics, artificial </w:t>
      </w:r>
      <w:proofErr w:type="gramStart"/>
      <w:r w:rsidR="004F49E6" w:rsidRPr="00B053F6">
        <w:rPr>
          <w:rFonts w:asciiTheme="minorHAnsi" w:hAnsiTheme="minorHAnsi" w:cstheme="minorHAnsi"/>
          <w:sz w:val="22"/>
        </w:rPr>
        <w:lastRenderedPageBreak/>
        <w:t>inte</w:t>
      </w:r>
      <w:r w:rsidR="00477BBF" w:rsidRPr="00B053F6">
        <w:rPr>
          <w:rFonts w:asciiTheme="minorHAnsi" w:hAnsiTheme="minorHAnsi" w:cstheme="minorHAnsi"/>
          <w:sz w:val="22"/>
        </w:rPr>
        <w:t>lligence</w:t>
      </w:r>
      <w:proofErr w:type="gramEnd"/>
      <w:r w:rsidR="00477BBF" w:rsidRPr="00B053F6">
        <w:rPr>
          <w:rFonts w:asciiTheme="minorHAnsi" w:hAnsiTheme="minorHAnsi" w:cstheme="minorHAnsi"/>
          <w:sz w:val="22"/>
        </w:rPr>
        <w:t xml:space="preserve"> and machine learning. </w:t>
      </w:r>
      <w:r w:rsidR="004F49E6" w:rsidRPr="00B053F6">
        <w:rPr>
          <w:rFonts w:asciiTheme="minorHAnsi" w:hAnsiTheme="minorHAnsi" w:cstheme="minorHAnsi"/>
          <w:sz w:val="22"/>
        </w:rPr>
        <w:t xml:space="preserve">Its findings will also be used to </w:t>
      </w:r>
      <w:r w:rsidR="00477BBF" w:rsidRPr="00B053F6">
        <w:rPr>
          <w:rFonts w:asciiTheme="minorHAnsi" w:hAnsiTheme="minorHAnsi" w:cstheme="minorHAnsi"/>
          <w:sz w:val="22"/>
        </w:rPr>
        <w:t xml:space="preserve">update the WCO Study Report on </w:t>
      </w:r>
      <w:r w:rsidR="004F49E6" w:rsidRPr="00B053F6">
        <w:rPr>
          <w:rFonts w:asciiTheme="minorHAnsi" w:hAnsiTheme="minorHAnsi" w:cstheme="minorHAnsi"/>
          <w:sz w:val="22"/>
        </w:rPr>
        <w:t>Disruptive Technologies</w:t>
      </w:r>
      <w:r w:rsidR="00477BBF" w:rsidRPr="00B053F6">
        <w:rPr>
          <w:rFonts w:asciiTheme="minorHAnsi" w:hAnsiTheme="minorHAnsi" w:cstheme="minorHAnsi"/>
          <w:sz w:val="22"/>
        </w:rPr>
        <w:t>, which will be undertaken in cooperation with the WTO.</w:t>
      </w:r>
      <w:r w:rsidR="00D93681">
        <w:rPr>
          <w:rFonts w:asciiTheme="minorHAnsi" w:hAnsiTheme="minorHAnsi" w:cstheme="minorHAnsi"/>
          <w:sz w:val="22"/>
        </w:rPr>
        <w:t xml:space="preserve"> We would like to thank the WTO for its work on this paper, which will be discussed in our Permanent Technical Committee next </w:t>
      </w:r>
      <w:r w:rsidR="00112DEA">
        <w:rPr>
          <w:rFonts w:asciiTheme="minorHAnsi" w:hAnsiTheme="minorHAnsi" w:cstheme="minorHAnsi"/>
          <w:sz w:val="22"/>
        </w:rPr>
        <w:t xml:space="preserve">week </w:t>
      </w:r>
      <w:r w:rsidR="00D93681">
        <w:rPr>
          <w:rFonts w:asciiTheme="minorHAnsi" w:hAnsiTheme="minorHAnsi" w:cstheme="minorHAnsi"/>
          <w:sz w:val="22"/>
        </w:rPr>
        <w:t>and made publicly available after that.</w:t>
      </w:r>
    </w:p>
    <w:p w14:paraId="45F38F3A" w14:textId="7ABE0C63" w:rsidR="007F694D" w:rsidRDefault="00D93681" w:rsidP="00022158">
      <w:pPr>
        <w:pStyle w:val="BodyText"/>
        <w:numPr>
          <w:ilvl w:val="0"/>
          <w:numId w:val="0"/>
        </w:numPr>
        <w:spacing w:before="120" w:after="120"/>
        <w:rPr>
          <w:rFonts w:asciiTheme="minorHAnsi" w:hAnsiTheme="minorHAnsi" w:cstheme="minorHAnsi"/>
          <w:sz w:val="22"/>
        </w:rPr>
      </w:pPr>
      <w:r>
        <w:rPr>
          <w:rFonts w:asciiTheme="minorHAnsi" w:hAnsiTheme="minorHAnsi" w:cstheme="minorHAnsi"/>
          <w:sz w:val="22"/>
        </w:rPr>
        <w:t>We continue the regional workshops on disruptive technologies which started with the Asia-Pacific workshop in March, then</w:t>
      </w:r>
      <w:r w:rsidR="00FF4854">
        <w:rPr>
          <w:rFonts w:asciiTheme="minorHAnsi" w:hAnsiTheme="minorHAnsi" w:cstheme="minorHAnsi"/>
          <w:sz w:val="22"/>
        </w:rPr>
        <w:t xml:space="preserve"> continued with</w:t>
      </w:r>
      <w:r>
        <w:rPr>
          <w:rFonts w:asciiTheme="minorHAnsi" w:hAnsiTheme="minorHAnsi" w:cstheme="minorHAnsi"/>
          <w:sz w:val="22"/>
        </w:rPr>
        <w:t xml:space="preserve"> the European workshop in May and we will hold the Americas and Caribbean workshop </w:t>
      </w:r>
      <w:r w:rsidR="00FF4854">
        <w:rPr>
          <w:rFonts w:asciiTheme="minorHAnsi" w:hAnsiTheme="minorHAnsi" w:cstheme="minorHAnsi"/>
          <w:sz w:val="22"/>
        </w:rPr>
        <w:t xml:space="preserve">in the </w:t>
      </w:r>
      <w:r>
        <w:rPr>
          <w:rFonts w:asciiTheme="minorHAnsi" w:hAnsiTheme="minorHAnsi" w:cstheme="minorHAnsi"/>
          <w:sz w:val="22"/>
        </w:rPr>
        <w:t xml:space="preserve">end of November. </w:t>
      </w:r>
    </w:p>
    <w:p w14:paraId="2B0DC0A3" w14:textId="68076D19" w:rsidR="00D93681" w:rsidRPr="00B053F6" w:rsidRDefault="00D93681" w:rsidP="00022158">
      <w:pPr>
        <w:pStyle w:val="BodyText"/>
        <w:numPr>
          <w:ilvl w:val="0"/>
          <w:numId w:val="0"/>
        </w:numPr>
        <w:spacing w:before="120" w:after="120"/>
        <w:rPr>
          <w:rFonts w:asciiTheme="minorHAnsi" w:hAnsiTheme="minorHAnsi" w:cstheme="minorHAnsi"/>
          <w:sz w:val="22"/>
        </w:rPr>
      </w:pPr>
      <w:r>
        <w:rPr>
          <w:rFonts w:asciiTheme="minorHAnsi" w:hAnsiTheme="minorHAnsi" w:cstheme="minorHAnsi"/>
          <w:sz w:val="22"/>
        </w:rPr>
        <w:t xml:space="preserve">I would also like to </w:t>
      </w:r>
      <w:r w:rsidR="00FF4854">
        <w:rPr>
          <w:rFonts w:asciiTheme="minorHAnsi" w:hAnsiTheme="minorHAnsi" w:cstheme="minorHAnsi"/>
          <w:sz w:val="22"/>
        </w:rPr>
        <w:t xml:space="preserve">take </w:t>
      </w:r>
      <w:r>
        <w:rPr>
          <w:rFonts w:asciiTheme="minorHAnsi" w:hAnsiTheme="minorHAnsi" w:cstheme="minorHAnsi"/>
          <w:sz w:val="22"/>
        </w:rPr>
        <w:t xml:space="preserve">this opportunity to invite all interested delegates to attend the </w:t>
      </w:r>
      <w:hyperlink r:id="rId8" w:history="1">
        <w:r w:rsidRPr="00750E7B">
          <w:rPr>
            <w:rStyle w:val="Hyperlink"/>
            <w:rFonts w:asciiTheme="minorHAnsi" w:hAnsiTheme="minorHAnsi" w:cstheme="minorHAnsi"/>
            <w:sz w:val="22"/>
          </w:rPr>
          <w:t>2021 WCO TECH-CON</w:t>
        </w:r>
      </w:hyperlink>
      <w:r w:rsidR="00F45232">
        <w:rPr>
          <w:rFonts w:asciiTheme="minorHAnsi" w:hAnsiTheme="minorHAnsi" w:cstheme="minorHAnsi"/>
          <w:sz w:val="22"/>
        </w:rPr>
        <w:t xml:space="preserve">, </w:t>
      </w:r>
      <w:r>
        <w:rPr>
          <w:rFonts w:asciiTheme="minorHAnsi" w:hAnsiTheme="minorHAnsi" w:cstheme="minorHAnsi"/>
          <w:sz w:val="22"/>
        </w:rPr>
        <w:t xml:space="preserve">which is our annual technology event. The webinar will </w:t>
      </w:r>
      <w:r w:rsidR="00F45232">
        <w:rPr>
          <w:rFonts w:asciiTheme="minorHAnsi" w:hAnsiTheme="minorHAnsi" w:cstheme="minorHAnsi"/>
          <w:sz w:val="22"/>
        </w:rPr>
        <w:t xml:space="preserve">be held on 10 and 11 November and will </w:t>
      </w:r>
      <w:r>
        <w:rPr>
          <w:rFonts w:asciiTheme="minorHAnsi" w:hAnsiTheme="minorHAnsi" w:cstheme="minorHAnsi"/>
          <w:sz w:val="22"/>
        </w:rPr>
        <w:t>focus on international standards of importance for automation and interoperability for Customs and more broadly in the border management environment. The event web site link is availab</w:t>
      </w:r>
      <w:r w:rsidR="00750E7B">
        <w:rPr>
          <w:rFonts w:asciiTheme="minorHAnsi" w:hAnsiTheme="minorHAnsi" w:cstheme="minorHAnsi"/>
          <w:sz w:val="22"/>
        </w:rPr>
        <w:t>le in the written contribution submit</w:t>
      </w:r>
      <w:r w:rsidR="00FF4854">
        <w:rPr>
          <w:rFonts w:asciiTheme="minorHAnsi" w:hAnsiTheme="minorHAnsi" w:cstheme="minorHAnsi"/>
          <w:sz w:val="22"/>
        </w:rPr>
        <w:t>ted</w:t>
      </w:r>
      <w:r w:rsidR="00750E7B">
        <w:rPr>
          <w:rFonts w:asciiTheme="minorHAnsi" w:hAnsiTheme="minorHAnsi" w:cstheme="minorHAnsi"/>
          <w:sz w:val="22"/>
        </w:rPr>
        <w:t xml:space="preserve"> to the WTO Secretariat.</w:t>
      </w:r>
    </w:p>
    <w:p w14:paraId="3E6A6105" w14:textId="0F735680" w:rsidR="005807B6" w:rsidRPr="00B053F6" w:rsidRDefault="00750E7B" w:rsidP="00022158">
      <w:pPr>
        <w:pStyle w:val="BodyText"/>
        <w:numPr>
          <w:ilvl w:val="0"/>
          <w:numId w:val="0"/>
        </w:numPr>
        <w:spacing w:before="120" w:after="120"/>
        <w:rPr>
          <w:rFonts w:asciiTheme="minorHAnsi" w:hAnsiTheme="minorHAnsi" w:cstheme="minorHAnsi"/>
          <w:sz w:val="22"/>
        </w:rPr>
      </w:pPr>
      <w:r>
        <w:rPr>
          <w:rFonts w:asciiTheme="minorHAnsi" w:hAnsiTheme="minorHAnsi" w:cstheme="minorHAnsi"/>
          <w:sz w:val="22"/>
        </w:rPr>
        <w:t xml:space="preserve">In terms of the </w:t>
      </w:r>
      <w:r w:rsidRPr="00F45232">
        <w:rPr>
          <w:rFonts w:asciiTheme="minorHAnsi" w:hAnsiTheme="minorHAnsi" w:cstheme="minorHAnsi"/>
          <w:b/>
          <w:sz w:val="22"/>
        </w:rPr>
        <w:t xml:space="preserve">tailor-made track </w:t>
      </w:r>
      <w:r>
        <w:rPr>
          <w:rFonts w:asciiTheme="minorHAnsi" w:hAnsiTheme="minorHAnsi" w:cstheme="minorHAnsi"/>
          <w:sz w:val="22"/>
        </w:rPr>
        <w:t>and the specific support intended for individual Members, t</w:t>
      </w:r>
      <w:r w:rsidR="005807B6" w:rsidRPr="00B053F6">
        <w:rPr>
          <w:rFonts w:asciiTheme="minorHAnsi" w:hAnsiTheme="minorHAnsi" w:cstheme="minorHAnsi"/>
          <w:sz w:val="22"/>
        </w:rPr>
        <w:t xml:space="preserve">he WCO continued to provide effective technical support and capacity building assistance through the now established virtual delivery approach. </w:t>
      </w:r>
    </w:p>
    <w:p w14:paraId="1218CDF8" w14:textId="3CF3AE30" w:rsidR="005807B6" w:rsidRPr="00B053F6" w:rsidRDefault="005807B6" w:rsidP="00022158">
      <w:pPr>
        <w:pStyle w:val="BodyText"/>
        <w:numPr>
          <w:ilvl w:val="0"/>
          <w:numId w:val="0"/>
        </w:numPr>
        <w:spacing w:before="120" w:after="120"/>
        <w:rPr>
          <w:rFonts w:asciiTheme="minorHAnsi" w:hAnsiTheme="minorHAnsi" w:cstheme="minorHAnsi"/>
          <w:sz w:val="22"/>
        </w:rPr>
      </w:pPr>
      <w:r w:rsidRPr="00B053F6">
        <w:rPr>
          <w:rFonts w:asciiTheme="minorHAnsi" w:hAnsiTheme="minorHAnsi" w:cstheme="minorHAnsi"/>
          <w:sz w:val="22"/>
        </w:rPr>
        <w:t>Since April 2021, with the assistance of Member Experts, over 70 on-line support activities have been successfully delivered and many more are planned for later in 2021.  Almost 50 of these activities were delivered under the multi-year (MY) Mercator operating model that is based on medium to long-term engagements and employs a project-based approach.</w:t>
      </w:r>
      <w:r w:rsidR="00A54A26">
        <w:rPr>
          <w:rFonts w:asciiTheme="minorHAnsi" w:hAnsiTheme="minorHAnsi" w:cstheme="minorHAnsi"/>
          <w:sz w:val="22"/>
        </w:rPr>
        <w:t xml:space="preserve"> </w:t>
      </w:r>
      <w:r w:rsidRPr="00B053F6">
        <w:rPr>
          <w:rFonts w:asciiTheme="minorHAnsi" w:hAnsiTheme="minorHAnsi" w:cstheme="minorHAnsi"/>
          <w:sz w:val="22"/>
        </w:rPr>
        <w:t>The WCO currently has 57 Customs administrations benefiting from MY Mercator partnerships.</w:t>
      </w:r>
      <w:r w:rsidR="00592EDD">
        <w:rPr>
          <w:rFonts w:asciiTheme="minorHAnsi" w:hAnsiTheme="minorHAnsi" w:cstheme="minorHAnsi"/>
          <w:sz w:val="22"/>
        </w:rPr>
        <w:t xml:space="preserve"> However, most of our developing and least developed Members have benefited from some sort of assistance under the programme.</w:t>
      </w:r>
    </w:p>
    <w:p w14:paraId="5CA24BB4" w14:textId="18D5CE5E" w:rsidR="005807B6" w:rsidRDefault="005807B6" w:rsidP="00022158">
      <w:pPr>
        <w:pStyle w:val="BodyText"/>
        <w:numPr>
          <w:ilvl w:val="0"/>
          <w:numId w:val="0"/>
        </w:numPr>
        <w:spacing w:before="120" w:after="120"/>
        <w:rPr>
          <w:rFonts w:asciiTheme="minorHAnsi" w:hAnsiTheme="minorHAnsi" w:cstheme="minorHAnsi"/>
          <w:sz w:val="22"/>
        </w:rPr>
      </w:pPr>
      <w:r w:rsidRPr="00B053F6">
        <w:rPr>
          <w:rFonts w:asciiTheme="minorHAnsi" w:hAnsiTheme="minorHAnsi" w:cstheme="minorHAnsi"/>
          <w:sz w:val="22"/>
        </w:rPr>
        <w:t xml:space="preserve">Delivered activities have included several Mercator diagnostic assessments and strategic planning support missions along with activities closely associated with specific Articles of the TFA including, </w:t>
      </w:r>
      <w:r w:rsidR="00D21BA7" w:rsidRPr="00B053F6">
        <w:rPr>
          <w:rFonts w:asciiTheme="minorHAnsi" w:hAnsiTheme="minorHAnsi" w:cstheme="minorHAnsi"/>
          <w:sz w:val="22"/>
        </w:rPr>
        <w:t>p</w:t>
      </w:r>
      <w:r w:rsidRPr="00B053F6">
        <w:rPr>
          <w:rFonts w:asciiTheme="minorHAnsi" w:hAnsiTheme="minorHAnsi" w:cstheme="minorHAnsi"/>
          <w:sz w:val="22"/>
        </w:rPr>
        <w:t>ost</w:t>
      </w:r>
      <w:r w:rsidR="00D21BA7" w:rsidRPr="00B053F6">
        <w:rPr>
          <w:rFonts w:asciiTheme="minorHAnsi" w:hAnsiTheme="minorHAnsi" w:cstheme="minorHAnsi"/>
          <w:sz w:val="22"/>
        </w:rPr>
        <w:t>-clearance</w:t>
      </w:r>
      <w:r w:rsidRPr="00B053F6">
        <w:rPr>
          <w:rFonts w:asciiTheme="minorHAnsi" w:hAnsiTheme="minorHAnsi" w:cstheme="minorHAnsi"/>
          <w:sz w:val="22"/>
        </w:rPr>
        <w:t xml:space="preserve"> </w:t>
      </w:r>
      <w:r w:rsidR="00D21BA7" w:rsidRPr="00B053F6">
        <w:rPr>
          <w:rFonts w:asciiTheme="minorHAnsi" w:hAnsiTheme="minorHAnsi" w:cstheme="minorHAnsi"/>
          <w:sz w:val="22"/>
        </w:rPr>
        <w:t>a</w:t>
      </w:r>
      <w:r w:rsidRPr="00B053F6">
        <w:rPr>
          <w:rFonts w:asciiTheme="minorHAnsi" w:hAnsiTheme="minorHAnsi" w:cstheme="minorHAnsi"/>
          <w:sz w:val="22"/>
        </w:rPr>
        <w:t xml:space="preserve">udit, </w:t>
      </w:r>
      <w:r w:rsidR="00D21BA7" w:rsidRPr="00B053F6">
        <w:rPr>
          <w:rFonts w:asciiTheme="minorHAnsi" w:hAnsiTheme="minorHAnsi" w:cstheme="minorHAnsi"/>
          <w:sz w:val="22"/>
        </w:rPr>
        <w:t>r</w:t>
      </w:r>
      <w:r w:rsidRPr="00B053F6">
        <w:rPr>
          <w:rFonts w:asciiTheme="minorHAnsi" w:hAnsiTheme="minorHAnsi" w:cstheme="minorHAnsi"/>
          <w:sz w:val="22"/>
        </w:rPr>
        <w:t xml:space="preserve">isk </w:t>
      </w:r>
      <w:r w:rsidR="00D21BA7" w:rsidRPr="00B053F6">
        <w:rPr>
          <w:rFonts w:asciiTheme="minorHAnsi" w:hAnsiTheme="minorHAnsi" w:cstheme="minorHAnsi"/>
          <w:sz w:val="22"/>
        </w:rPr>
        <w:t>m</w:t>
      </w:r>
      <w:r w:rsidRPr="00B053F6">
        <w:rPr>
          <w:rFonts w:asciiTheme="minorHAnsi" w:hAnsiTheme="minorHAnsi" w:cstheme="minorHAnsi"/>
          <w:sz w:val="22"/>
        </w:rPr>
        <w:t xml:space="preserve">anagement, </w:t>
      </w:r>
      <w:r w:rsidR="00D21BA7" w:rsidRPr="00B053F6">
        <w:rPr>
          <w:rFonts w:asciiTheme="minorHAnsi" w:hAnsiTheme="minorHAnsi" w:cstheme="minorHAnsi"/>
          <w:sz w:val="22"/>
        </w:rPr>
        <w:t>ti</w:t>
      </w:r>
      <w:r w:rsidRPr="00B053F6">
        <w:rPr>
          <w:rFonts w:asciiTheme="minorHAnsi" w:hAnsiTheme="minorHAnsi" w:cstheme="minorHAnsi"/>
          <w:sz w:val="22"/>
        </w:rPr>
        <w:t xml:space="preserve">me </w:t>
      </w:r>
      <w:r w:rsidR="00D21BA7" w:rsidRPr="00B053F6">
        <w:rPr>
          <w:rFonts w:asciiTheme="minorHAnsi" w:hAnsiTheme="minorHAnsi" w:cstheme="minorHAnsi"/>
          <w:sz w:val="22"/>
        </w:rPr>
        <w:t>r</w:t>
      </w:r>
      <w:r w:rsidRPr="00B053F6">
        <w:rPr>
          <w:rFonts w:asciiTheme="minorHAnsi" w:hAnsiTheme="minorHAnsi" w:cstheme="minorHAnsi"/>
          <w:sz w:val="22"/>
        </w:rPr>
        <w:t xml:space="preserve">elease </w:t>
      </w:r>
      <w:r w:rsidR="00D21BA7" w:rsidRPr="00B053F6">
        <w:rPr>
          <w:rFonts w:asciiTheme="minorHAnsi" w:hAnsiTheme="minorHAnsi" w:cstheme="minorHAnsi"/>
          <w:sz w:val="22"/>
        </w:rPr>
        <w:t>s</w:t>
      </w:r>
      <w:r w:rsidRPr="00B053F6">
        <w:rPr>
          <w:rFonts w:asciiTheme="minorHAnsi" w:hAnsiTheme="minorHAnsi" w:cstheme="minorHAnsi"/>
          <w:sz w:val="22"/>
        </w:rPr>
        <w:t>tu</w:t>
      </w:r>
      <w:r w:rsidR="00A54A26">
        <w:rPr>
          <w:rFonts w:asciiTheme="minorHAnsi" w:hAnsiTheme="minorHAnsi" w:cstheme="minorHAnsi"/>
          <w:sz w:val="22"/>
        </w:rPr>
        <w:t xml:space="preserve">dy and many </w:t>
      </w:r>
      <w:r w:rsidRPr="00B053F6">
        <w:rPr>
          <w:rFonts w:asciiTheme="minorHAnsi" w:hAnsiTheme="minorHAnsi" w:cstheme="minorHAnsi"/>
          <w:sz w:val="22"/>
        </w:rPr>
        <w:t xml:space="preserve">others.    </w:t>
      </w:r>
    </w:p>
    <w:p w14:paraId="5D5ABA13" w14:textId="29F35D0F" w:rsidR="00617644" w:rsidRPr="00B053F6" w:rsidRDefault="00617644" w:rsidP="00022158">
      <w:pPr>
        <w:pStyle w:val="BodyText"/>
        <w:numPr>
          <w:ilvl w:val="0"/>
          <w:numId w:val="0"/>
        </w:numPr>
        <w:spacing w:before="120" w:after="120"/>
        <w:rPr>
          <w:rFonts w:asciiTheme="minorHAnsi" w:hAnsiTheme="minorHAnsi" w:cstheme="minorHAnsi"/>
          <w:sz w:val="22"/>
        </w:rPr>
      </w:pPr>
      <w:r>
        <w:rPr>
          <w:rFonts w:asciiTheme="minorHAnsi" w:hAnsiTheme="minorHAnsi" w:cstheme="minorHAnsi"/>
          <w:sz w:val="22"/>
        </w:rPr>
        <w:t>Last, but not least, we would like to use this opportunity to thank the long list of our donors and their support under the the Mercator Programme without who’s engagement these valuable Technical Assistance and Capacity Building activities would not be possible.</w:t>
      </w:r>
    </w:p>
    <w:bookmarkEnd w:id="0"/>
    <w:bookmarkEnd w:id="1"/>
    <w:bookmarkEnd w:id="2"/>
    <w:bookmarkEnd w:id="3"/>
    <w:p w14:paraId="2C653F42" w14:textId="6327E914" w:rsidR="00112DEA" w:rsidRDefault="00617644" w:rsidP="00022158">
      <w:pPr>
        <w:pStyle w:val="BodyText"/>
        <w:numPr>
          <w:ilvl w:val="0"/>
          <w:numId w:val="0"/>
        </w:numPr>
        <w:spacing w:before="120" w:after="120"/>
        <w:rPr>
          <w:rFonts w:asciiTheme="minorHAnsi" w:hAnsiTheme="minorHAnsi" w:cstheme="minorHAnsi"/>
          <w:sz w:val="22"/>
        </w:rPr>
      </w:pPr>
      <w:r>
        <w:rPr>
          <w:rFonts w:asciiTheme="minorHAnsi" w:hAnsiTheme="minorHAnsi" w:cstheme="minorHAnsi"/>
          <w:sz w:val="22"/>
        </w:rPr>
        <w:t>I thank you all for your attention.</w:t>
      </w:r>
    </w:p>
    <w:p w14:paraId="0D25872D" w14:textId="73BF73D4" w:rsidR="00022158" w:rsidRDefault="00022158" w:rsidP="00022158">
      <w:pPr>
        <w:pStyle w:val="BodyText"/>
        <w:numPr>
          <w:ilvl w:val="0"/>
          <w:numId w:val="0"/>
        </w:numPr>
        <w:spacing w:before="120" w:after="120"/>
        <w:rPr>
          <w:rFonts w:asciiTheme="minorHAnsi" w:hAnsiTheme="minorHAnsi" w:cstheme="minorHAnsi"/>
          <w:sz w:val="22"/>
        </w:rPr>
      </w:pPr>
    </w:p>
    <w:p w14:paraId="12CB8BD9" w14:textId="501ADB46" w:rsidR="00022158" w:rsidRPr="00B053F6" w:rsidRDefault="00022158" w:rsidP="00022158">
      <w:pPr>
        <w:pStyle w:val="BodyText"/>
        <w:numPr>
          <w:ilvl w:val="0"/>
          <w:numId w:val="0"/>
        </w:numPr>
        <w:spacing w:before="120" w:after="120"/>
        <w:jc w:val="center"/>
        <w:rPr>
          <w:rFonts w:asciiTheme="minorHAnsi" w:hAnsiTheme="minorHAnsi" w:cstheme="minorHAnsi"/>
          <w:sz w:val="22"/>
        </w:rPr>
      </w:pPr>
      <w:r>
        <w:rPr>
          <w:rFonts w:asciiTheme="minorHAnsi" w:hAnsiTheme="minorHAnsi" w:cstheme="minorHAnsi"/>
          <w:sz w:val="22"/>
        </w:rPr>
        <w:t>------------------------</w:t>
      </w:r>
    </w:p>
    <w:sectPr w:rsidR="00022158" w:rsidRPr="00B053F6" w:rsidSect="00885198">
      <w:headerReference w:type="default" r:id="rId9"/>
      <w:footerReference w:type="even" r:id="rId10"/>
      <w:footerReference w:type="defaul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7980A" w14:textId="77777777" w:rsidR="00B27010" w:rsidRDefault="00B27010" w:rsidP="00ED54E0">
      <w:r>
        <w:separator/>
      </w:r>
    </w:p>
  </w:endnote>
  <w:endnote w:type="continuationSeparator" w:id="0">
    <w:p w14:paraId="04A1FBAE" w14:textId="77777777" w:rsidR="00B27010" w:rsidRDefault="00B27010"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EE273" w14:textId="7A645BF0" w:rsidR="00544326" w:rsidRPr="00885198" w:rsidRDefault="00885198" w:rsidP="0088519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A1499" w14:textId="19C125BC" w:rsidR="00544326" w:rsidRPr="00885198" w:rsidRDefault="00885198" w:rsidP="0088519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1158611"/>
      <w:docPartObj>
        <w:docPartGallery w:val="Page Numbers (Bottom of Page)"/>
        <w:docPartUnique/>
      </w:docPartObj>
    </w:sdtPr>
    <w:sdtEndPr>
      <w:rPr>
        <w:noProof/>
      </w:rPr>
    </w:sdtEndPr>
    <w:sdtContent>
      <w:p w14:paraId="19CEB16E" w14:textId="393991B9" w:rsidR="00D7277A" w:rsidRDefault="00D7277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D26C6B5" w14:textId="77777777" w:rsidR="00D7277A" w:rsidRDefault="00D72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3B3D9" w14:textId="77777777" w:rsidR="00B27010" w:rsidRDefault="00B27010" w:rsidP="00ED54E0">
      <w:r>
        <w:separator/>
      </w:r>
    </w:p>
  </w:footnote>
  <w:footnote w:type="continuationSeparator" w:id="0">
    <w:p w14:paraId="4500A04A" w14:textId="77777777" w:rsidR="00B27010" w:rsidRDefault="00B27010" w:rsidP="00ED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C21D1" w14:textId="7727FC59" w:rsidR="00544326" w:rsidRPr="00885198" w:rsidRDefault="00544326" w:rsidP="00885198">
    <w:pPr>
      <w:pStyle w:val="Header"/>
      <w:tabs>
        <w:tab w:val="clear" w:pos="4513"/>
        <w:tab w:val="clear" w:pos="9027"/>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8B7010"/>
    <w:multiLevelType w:val="hybridMultilevel"/>
    <w:tmpl w:val="B1520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5719C"/>
    <w:multiLevelType w:val="hybridMultilevel"/>
    <w:tmpl w:val="4DB6A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946E8C"/>
    <w:multiLevelType w:val="hybridMultilevel"/>
    <w:tmpl w:val="BE72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B50ECD"/>
    <w:multiLevelType w:val="multilevel"/>
    <w:tmpl w:val="22EAB1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6" w15:restartNumberingAfterBreak="0">
    <w:nsid w:val="57454AB1"/>
    <w:multiLevelType w:val="multilevel"/>
    <w:tmpl w:val="075A666C"/>
    <w:numStyleLink w:val="LegalHeadings"/>
  </w:abstractNum>
  <w:abstractNum w:abstractNumId="17"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36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8"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A3D0399"/>
    <w:multiLevelType w:val="hybridMultilevel"/>
    <w:tmpl w:val="E57AF43A"/>
    <w:lvl w:ilvl="0" w:tplc="07B2BCB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7"/>
  </w:num>
  <w:num w:numId="7">
    <w:abstractNumId w:val="16"/>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8"/>
  </w:num>
  <w:num w:numId="12">
    <w:abstractNumId w:val="3"/>
  </w:num>
  <w:num w:numId="13">
    <w:abstractNumId w:val="2"/>
  </w:num>
  <w:num w:numId="14">
    <w:abstractNumId w:val="1"/>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b w:val="0"/>
          <w:bCs/>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8">
    <w:abstractNumId w:val="16"/>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19">
    <w:abstractNumId w:val="11"/>
  </w:num>
  <w:num w:numId="20">
    <w:abstractNumId w:val="16"/>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1">
    <w:abstractNumId w:val="13"/>
  </w:num>
  <w:num w:numId="22">
    <w:abstractNumId w:val="16"/>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3">
    <w:abstractNumId w:val="16"/>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4">
    <w:abstractNumId w:val="16"/>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710" w:firstLine="0"/>
        </w:pPr>
        <w:rPr>
          <w:rFonts w:hint="default"/>
          <w:b w:val="0"/>
          <w:bCs w:val="0"/>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25">
    <w:abstractNumId w:val="16"/>
    <w:lvlOverride w:ilvl="0">
      <w:startOverride w:val="1"/>
      <w:lvl w:ilvl="0">
        <w:start w:val="1"/>
        <w:numFmt w:val="decimal"/>
        <w:pStyle w:val="Heading1"/>
        <w:isLgl/>
        <w:suff w:val="nothing"/>
        <w:lvlText w:val="%1  "/>
        <w:lvlJc w:val="left"/>
        <w:pPr>
          <w:ind w:left="0" w:firstLine="0"/>
        </w:pPr>
        <w:rPr>
          <w:rFonts w:hint="default"/>
        </w:rPr>
      </w:lvl>
    </w:lvlOverride>
    <w:lvlOverride w:ilvl="1">
      <w:startOverride w:val="1"/>
      <w:lvl w:ilvl="1">
        <w:start w:val="1"/>
        <w:numFmt w:val="decimal"/>
        <w:pStyle w:val="Heading2"/>
        <w:isLgl/>
        <w:suff w:val="nothing"/>
        <w:lvlText w:val="%1.%2  "/>
        <w:lvlJc w:val="left"/>
        <w:pPr>
          <w:ind w:left="0" w:firstLine="0"/>
        </w:pPr>
        <w:rPr>
          <w:rFonts w:hint="default"/>
        </w:rPr>
      </w:lvl>
    </w:lvlOverride>
    <w:lvlOverride w:ilvl="2">
      <w:startOverride w:val="1"/>
      <w:lvl w:ilvl="2">
        <w:start w:val="1"/>
        <w:numFmt w:val="decimal"/>
        <w:pStyle w:val="Heading3"/>
        <w:isLgl/>
        <w:suff w:val="nothing"/>
        <w:lvlText w:val="%1.%2.%3  "/>
        <w:lvlJc w:val="left"/>
        <w:pPr>
          <w:ind w:left="0" w:firstLine="0"/>
        </w:pPr>
        <w:rPr>
          <w:rFonts w:hint="default"/>
        </w:rPr>
      </w:lvl>
    </w:lvlOverride>
    <w:lvlOverride w:ilvl="3">
      <w:startOverride w:val="1"/>
      <w:lvl w:ilvl="3">
        <w:start w:val="1"/>
        <w:numFmt w:val="decimal"/>
        <w:pStyle w:val="Heading4"/>
        <w:isLgl/>
        <w:suff w:val="nothing"/>
        <w:lvlText w:val="%1.%2.%3.%4  "/>
        <w:lvlJc w:val="left"/>
        <w:pPr>
          <w:ind w:left="0" w:firstLine="0"/>
        </w:pPr>
        <w:rPr>
          <w:rFonts w:hint="default"/>
        </w:rPr>
      </w:lvl>
    </w:lvlOverride>
    <w:lvlOverride w:ilvl="4">
      <w:startOverride w:val="1"/>
      <w:lvl w:ilvl="4">
        <w:start w:val="1"/>
        <w:numFmt w:val="decimal"/>
        <w:pStyle w:val="Heading5"/>
        <w:isLgl/>
        <w:suff w:val="nothing"/>
        <w:lvlText w:val="%1.%2.%3.%4.%5  "/>
        <w:lvlJc w:val="left"/>
        <w:pPr>
          <w:ind w:left="0" w:firstLine="0"/>
        </w:pPr>
        <w:rPr>
          <w:rFonts w:hint="default"/>
        </w:rPr>
      </w:lvl>
    </w:lvlOverride>
    <w:lvlOverride w:ilvl="5">
      <w:startOverride w:val="1"/>
      <w:lvl w:ilvl="5">
        <w:start w:val="1"/>
        <w:numFmt w:val="decimal"/>
        <w:pStyle w:val="Heading6"/>
        <w:isLgl/>
        <w:suff w:val="nothing"/>
        <w:lvlText w:val="%1.%2.%3.%4.%5.%6  "/>
        <w:lvlJc w:val="left"/>
        <w:pPr>
          <w:ind w:left="0" w:firstLine="0"/>
        </w:pPr>
        <w:rPr>
          <w:rFonts w:hint="default"/>
        </w:rPr>
      </w:lvl>
    </w:lvlOverride>
    <w:lvlOverride w:ilvl="6">
      <w:startOverride w:val="1"/>
      <w:lvl w:ilvl="6">
        <w:start w:val="1"/>
        <w:numFmt w:val="decimal"/>
        <w:lvlRestart w:val="1"/>
        <w:pStyle w:val="BodyText"/>
        <w:isLgl/>
        <w:suff w:val="nothing"/>
        <w:lvlText w:val="%1.%7.  "/>
        <w:lvlJc w:val="left"/>
        <w:pPr>
          <w:ind w:left="0" w:firstLine="0"/>
        </w:pPr>
        <w:rPr>
          <w:rFonts w:hint="default"/>
        </w:rPr>
      </w:lvl>
    </w:lvlOverride>
    <w:lvlOverride w:ilvl="7">
      <w:startOverride w:val="1"/>
      <w:lvl w:ilvl="7">
        <w:start w:val="1"/>
        <w:numFmt w:val="lowerLetter"/>
        <w:pStyle w:val="BodyText2"/>
        <w:lvlText w:val="%8."/>
        <w:lvlJc w:val="left"/>
        <w:pPr>
          <w:tabs>
            <w:tab w:val="num" w:pos="907"/>
          </w:tabs>
          <w:ind w:left="907" w:hanging="340"/>
        </w:pPr>
        <w:rPr>
          <w:rFonts w:hint="default"/>
        </w:rPr>
      </w:lvl>
    </w:lvlOverride>
    <w:lvlOverride w:ilvl="8">
      <w:startOverride w:val="1"/>
      <w:lvl w:ilvl="8">
        <w:start w:val="1"/>
        <w:numFmt w:val="lowerRoman"/>
        <w:pStyle w:val="BodyText3"/>
        <w:lvlText w:val="%9."/>
        <w:lvlJc w:val="left"/>
        <w:pPr>
          <w:tabs>
            <w:tab w:val="num" w:pos="1247"/>
          </w:tabs>
          <w:ind w:left="1247" w:hanging="340"/>
        </w:pPr>
        <w:rPr>
          <w:rFonts w:hint="default"/>
        </w:rPr>
      </w:lvl>
    </w:lvlOverride>
  </w:num>
  <w:num w:numId="26">
    <w:abstractNumId w:val="12"/>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2411" w:firstLine="0"/>
        </w:pPr>
        <w:rPr>
          <w:rFonts w:hint="default"/>
          <w:b w:val="0"/>
          <w:bCs w:val="0"/>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33">
    <w:abstractNumId w:val="16"/>
  </w:num>
  <w:num w:numId="34">
    <w:abstractNumId w:val="19"/>
  </w:num>
  <w:num w:numId="35">
    <w:abstractNumId w:val="16"/>
  </w:num>
  <w:num w:numId="36">
    <w:abstractNumId w:val="16"/>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1FB"/>
    <w:rsid w:val="000131FB"/>
    <w:rsid w:val="00022158"/>
    <w:rsid w:val="00023F79"/>
    <w:rsid w:val="000272F6"/>
    <w:rsid w:val="00037AC4"/>
    <w:rsid w:val="000423BF"/>
    <w:rsid w:val="000907F6"/>
    <w:rsid w:val="00094D63"/>
    <w:rsid w:val="000A4945"/>
    <w:rsid w:val="000B172F"/>
    <w:rsid w:val="000B31E1"/>
    <w:rsid w:val="000F4372"/>
    <w:rsid w:val="00102CAC"/>
    <w:rsid w:val="00103FB0"/>
    <w:rsid w:val="00112DEA"/>
    <w:rsid w:val="0011356B"/>
    <w:rsid w:val="0013337F"/>
    <w:rsid w:val="00135ECA"/>
    <w:rsid w:val="00143B9B"/>
    <w:rsid w:val="00145D80"/>
    <w:rsid w:val="0015591A"/>
    <w:rsid w:val="00182B84"/>
    <w:rsid w:val="001849FB"/>
    <w:rsid w:val="001E291F"/>
    <w:rsid w:val="0022541A"/>
    <w:rsid w:val="00225E35"/>
    <w:rsid w:val="00233408"/>
    <w:rsid w:val="0027067B"/>
    <w:rsid w:val="00296A1E"/>
    <w:rsid w:val="002B0A5C"/>
    <w:rsid w:val="002E51F6"/>
    <w:rsid w:val="002F02B2"/>
    <w:rsid w:val="003156C6"/>
    <w:rsid w:val="003572B4"/>
    <w:rsid w:val="003C6548"/>
    <w:rsid w:val="00467032"/>
    <w:rsid w:val="0046754A"/>
    <w:rsid w:val="00477BBF"/>
    <w:rsid w:val="004809F4"/>
    <w:rsid w:val="00484F20"/>
    <w:rsid w:val="004D6A57"/>
    <w:rsid w:val="004F203A"/>
    <w:rsid w:val="004F482B"/>
    <w:rsid w:val="004F49E6"/>
    <w:rsid w:val="00512342"/>
    <w:rsid w:val="005132A8"/>
    <w:rsid w:val="005329F1"/>
    <w:rsid w:val="005336B8"/>
    <w:rsid w:val="0053609F"/>
    <w:rsid w:val="00544326"/>
    <w:rsid w:val="00547B5F"/>
    <w:rsid w:val="005754EE"/>
    <w:rsid w:val="005807B6"/>
    <w:rsid w:val="00592EDD"/>
    <w:rsid w:val="005A1A22"/>
    <w:rsid w:val="005B04B9"/>
    <w:rsid w:val="005B68C7"/>
    <w:rsid w:val="005B7054"/>
    <w:rsid w:val="005D5981"/>
    <w:rsid w:val="005F30CB"/>
    <w:rsid w:val="00612644"/>
    <w:rsid w:val="00617644"/>
    <w:rsid w:val="00622B8C"/>
    <w:rsid w:val="00674CCD"/>
    <w:rsid w:val="006B3CF7"/>
    <w:rsid w:val="006C2DFB"/>
    <w:rsid w:val="006F5826"/>
    <w:rsid w:val="00700181"/>
    <w:rsid w:val="007141CF"/>
    <w:rsid w:val="007174E4"/>
    <w:rsid w:val="00745146"/>
    <w:rsid w:val="0074742E"/>
    <w:rsid w:val="00750E7B"/>
    <w:rsid w:val="007528A7"/>
    <w:rsid w:val="007577E3"/>
    <w:rsid w:val="00760DB3"/>
    <w:rsid w:val="0076657B"/>
    <w:rsid w:val="007816D9"/>
    <w:rsid w:val="007B3CB0"/>
    <w:rsid w:val="007C55D8"/>
    <w:rsid w:val="007E5A31"/>
    <w:rsid w:val="007E6507"/>
    <w:rsid w:val="007F2B8E"/>
    <w:rsid w:val="007F32D1"/>
    <w:rsid w:val="007F362B"/>
    <w:rsid w:val="007F694D"/>
    <w:rsid w:val="0080701F"/>
    <w:rsid w:val="00807247"/>
    <w:rsid w:val="00840C2B"/>
    <w:rsid w:val="00854D90"/>
    <w:rsid w:val="008739FD"/>
    <w:rsid w:val="00877EA5"/>
    <w:rsid w:val="00885198"/>
    <w:rsid w:val="00893E85"/>
    <w:rsid w:val="008E372C"/>
    <w:rsid w:val="009424CA"/>
    <w:rsid w:val="009942C5"/>
    <w:rsid w:val="009A535A"/>
    <w:rsid w:val="009A6F54"/>
    <w:rsid w:val="009D4833"/>
    <w:rsid w:val="009F28B5"/>
    <w:rsid w:val="00A50247"/>
    <w:rsid w:val="00A54A26"/>
    <w:rsid w:val="00A6057A"/>
    <w:rsid w:val="00A61C2A"/>
    <w:rsid w:val="00A67904"/>
    <w:rsid w:val="00A74017"/>
    <w:rsid w:val="00A90B12"/>
    <w:rsid w:val="00AA332C"/>
    <w:rsid w:val="00AC27F8"/>
    <w:rsid w:val="00AD22F8"/>
    <w:rsid w:val="00AD4C72"/>
    <w:rsid w:val="00AE2AEE"/>
    <w:rsid w:val="00AF0FD0"/>
    <w:rsid w:val="00B00276"/>
    <w:rsid w:val="00B03A7C"/>
    <w:rsid w:val="00B053F6"/>
    <w:rsid w:val="00B230EC"/>
    <w:rsid w:val="00B260BE"/>
    <w:rsid w:val="00B27010"/>
    <w:rsid w:val="00B50985"/>
    <w:rsid w:val="00B5125C"/>
    <w:rsid w:val="00B52738"/>
    <w:rsid w:val="00B56EDC"/>
    <w:rsid w:val="00BB1F84"/>
    <w:rsid w:val="00BC51C9"/>
    <w:rsid w:val="00BD5094"/>
    <w:rsid w:val="00BE1D13"/>
    <w:rsid w:val="00BE345D"/>
    <w:rsid w:val="00BE5468"/>
    <w:rsid w:val="00C11EAC"/>
    <w:rsid w:val="00C15F6D"/>
    <w:rsid w:val="00C305D7"/>
    <w:rsid w:val="00C30F2A"/>
    <w:rsid w:val="00C367F8"/>
    <w:rsid w:val="00C43456"/>
    <w:rsid w:val="00C525F3"/>
    <w:rsid w:val="00C65C0C"/>
    <w:rsid w:val="00C76B1E"/>
    <w:rsid w:val="00C808FC"/>
    <w:rsid w:val="00CA2AC9"/>
    <w:rsid w:val="00CD7D97"/>
    <w:rsid w:val="00CE3EE6"/>
    <w:rsid w:val="00CE4BA1"/>
    <w:rsid w:val="00D000C7"/>
    <w:rsid w:val="00D21BA7"/>
    <w:rsid w:val="00D221B8"/>
    <w:rsid w:val="00D22B97"/>
    <w:rsid w:val="00D52A9D"/>
    <w:rsid w:val="00D55AAD"/>
    <w:rsid w:val="00D65999"/>
    <w:rsid w:val="00D7277A"/>
    <w:rsid w:val="00D747AE"/>
    <w:rsid w:val="00D9226C"/>
    <w:rsid w:val="00D93681"/>
    <w:rsid w:val="00DA20BD"/>
    <w:rsid w:val="00DC6A33"/>
    <w:rsid w:val="00DD0BCD"/>
    <w:rsid w:val="00DE50DB"/>
    <w:rsid w:val="00DE6378"/>
    <w:rsid w:val="00DF527F"/>
    <w:rsid w:val="00DF6AE1"/>
    <w:rsid w:val="00E46FD5"/>
    <w:rsid w:val="00E544BB"/>
    <w:rsid w:val="00E56545"/>
    <w:rsid w:val="00E577E5"/>
    <w:rsid w:val="00E631FC"/>
    <w:rsid w:val="00E647B6"/>
    <w:rsid w:val="00E65DB7"/>
    <w:rsid w:val="00E7255A"/>
    <w:rsid w:val="00EA2C6F"/>
    <w:rsid w:val="00EA5D4F"/>
    <w:rsid w:val="00EB358B"/>
    <w:rsid w:val="00EB6C56"/>
    <w:rsid w:val="00EC5A81"/>
    <w:rsid w:val="00ED1D47"/>
    <w:rsid w:val="00ED3881"/>
    <w:rsid w:val="00ED54E0"/>
    <w:rsid w:val="00EE47B3"/>
    <w:rsid w:val="00EF34E7"/>
    <w:rsid w:val="00F04A9D"/>
    <w:rsid w:val="00F1136A"/>
    <w:rsid w:val="00F20D86"/>
    <w:rsid w:val="00F311A2"/>
    <w:rsid w:val="00F31CCB"/>
    <w:rsid w:val="00F32397"/>
    <w:rsid w:val="00F40595"/>
    <w:rsid w:val="00F45232"/>
    <w:rsid w:val="00F509AF"/>
    <w:rsid w:val="00F639A2"/>
    <w:rsid w:val="00F73F04"/>
    <w:rsid w:val="00FA5EBC"/>
    <w:rsid w:val="00FD224A"/>
    <w:rsid w:val="00FD6433"/>
    <w:rsid w:val="00FF4616"/>
    <w:rsid w:val="00FF48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E8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ind w:left="45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99"/>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99"/>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34"/>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paragraph" w:customStyle="1" w:styleId="Query">
    <w:name w:val="Query"/>
    <w:qFormat/>
    <w:rsid w:val="00F1136A"/>
    <w:pPr>
      <w:numPr>
        <w:numId w:val="16"/>
      </w:numPr>
      <w:spacing w:before="240"/>
      <w:jc w:val="both"/>
    </w:pPr>
    <w:rPr>
      <w:rFonts w:ascii="Verdana" w:hAnsi="Verdana"/>
      <w:sz w:val="18"/>
      <w:u w:val="single"/>
    </w:rPr>
  </w:style>
  <w:style w:type="character" w:customStyle="1" w:styleId="UnresolvedMention1">
    <w:name w:val="Unresolved Mention1"/>
    <w:basedOn w:val="DefaultParagraphFont"/>
    <w:uiPriority w:val="99"/>
    <w:semiHidden/>
    <w:unhideWhenUsed/>
    <w:rsid w:val="002B0A5C"/>
    <w:rPr>
      <w:color w:val="605E5C"/>
      <w:shd w:val="clear" w:color="auto" w:fill="E1DFDD"/>
    </w:rPr>
  </w:style>
  <w:style w:type="numbering" w:customStyle="1" w:styleId="LegalHeadings1">
    <w:name w:val="LegalHeadings1"/>
    <w:uiPriority w:val="99"/>
    <w:rsid w:val="00135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941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na.eventscloud.com/website/3065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varezdecozar\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2B6F4-C2B4-4A8E-9236-70848D24F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3</Pages>
  <Words>1437</Words>
  <Characters>8194</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2021-10-25T07:45:00Z</dcterms:created>
  <dcterms:modified xsi:type="dcterms:W3CDTF">2021-10-25T07:45:00Z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G/TFA/W/39</vt:lpwstr>
  </property>
  <property fmtid="{D5CDD505-2E9C-101B-9397-08002B2CF9AE}" pid="3" name="TitusGUID">
    <vt:lpwstr>4f08bff6-6d74-4d95-be85-b25a2ff30f30</vt:lpwstr>
  </property>
  <property fmtid="{D5CDD505-2E9C-101B-9397-08002B2CF9AE}" pid="4" name="WTOCLASSIFICATION">
    <vt:lpwstr>WTO OFFICIAL</vt:lpwstr>
  </property>
</Properties>
</file>